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DD3" w:rsidRDefault="00B41DD3">
      <w:pPr>
        <w:rPr>
          <w:rFonts w:ascii="Univers LT 45 Light" w:hAnsi="Univers LT 45 Light"/>
          <w:sz w:val="21"/>
          <w:szCs w:val="21"/>
        </w:rPr>
      </w:pPr>
    </w:p>
    <w:p w:rsidR="005556D2" w:rsidRDefault="005556D2" w:rsidP="0014198A">
      <w:pPr>
        <w:pStyle w:val="Body"/>
      </w:pPr>
    </w:p>
    <w:p w:rsidR="005556D2" w:rsidRDefault="005556D2" w:rsidP="0014198A">
      <w:pPr>
        <w:pStyle w:val="Body"/>
      </w:pPr>
    </w:p>
    <w:p w:rsidR="005556D2" w:rsidRDefault="005556D2" w:rsidP="0014198A">
      <w:pPr>
        <w:pStyle w:val="Body"/>
      </w:pPr>
    </w:p>
    <w:p w:rsidR="006D017E" w:rsidRDefault="006D017E" w:rsidP="0014198A">
      <w:pPr>
        <w:pStyle w:val="Body"/>
        <w:sectPr w:rsidR="006D017E" w:rsidSect="00534D24">
          <w:headerReference w:type="default" r:id="rId8"/>
          <w:footerReference w:type="default" r:id="rId9"/>
          <w:type w:val="continuous"/>
          <w:pgSz w:w="12240" w:h="15840"/>
          <w:pgMar w:top="1440" w:right="1440" w:bottom="1440" w:left="1440" w:header="708" w:footer="576" w:gutter="0"/>
          <w:pgNumType w:fmt="lowerRoman" w:start="1"/>
          <w:cols w:space="708"/>
          <w:docGrid w:linePitch="360"/>
        </w:sectPr>
      </w:pPr>
    </w:p>
    <w:p w:rsidR="005556D2" w:rsidRDefault="005556D2" w:rsidP="0014198A">
      <w:pPr>
        <w:pStyle w:val="Body"/>
      </w:pPr>
    </w:p>
    <w:p w:rsidR="006D017E" w:rsidRDefault="00362CD9">
      <w:pPr>
        <w:spacing w:after="0" w:line="240" w:lineRule="auto"/>
        <w:rPr>
          <w:rFonts w:ascii="Univers LT 45 Light" w:hAnsi="Univers LT 45 Light"/>
          <w:color w:val="36322E"/>
          <w:sz w:val="21"/>
          <w:szCs w:val="21"/>
        </w:rPr>
      </w:pPr>
      <w:r w:rsidRPr="00362CD9">
        <w:rPr>
          <w:noProof/>
        </w:rPr>
        <w:pict>
          <v:rect id="_x0000_s1026" style="position:absolute;margin-left:-79.55pt;margin-top:29.9pt;width:622.05pt;height:138.15pt;z-index:251657216" fillcolor="black">
            <v:fill opacity="39322f"/>
            <v:stroke opacity="29491f"/>
          </v:rect>
        </w:pict>
      </w:r>
    </w:p>
    <w:p w:rsidR="00E94933" w:rsidRDefault="00E94933" w:rsidP="0014198A">
      <w:pPr>
        <w:pStyle w:val="Body"/>
        <w:sectPr w:rsidR="00E94933" w:rsidSect="00E94933">
          <w:headerReference w:type="default" r:id="rId10"/>
          <w:footerReference w:type="default" r:id="rId11"/>
          <w:type w:val="continuous"/>
          <w:pgSz w:w="12240" w:h="15840"/>
          <w:pgMar w:top="1440" w:right="1440" w:bottom="1440" w:left="1440" w:header="708" w:footer="864" w:gutter="0"/>
          <w:pgNumType w:fmt="lowerRoman" w:start="1"/>
          <w:cols w:space="708"/>
          <w:docGrid w:linePitch="360"/>
        </w:sectPr>
      </w:pPr>
    </w:p>
    <w:p w:rsidR="00E94933" w:rsidRDefault="00362CD9" w:rsidP="0014198A">
      <w:pPr>
        <w:pStyle w:val="Body"/>
      </w:pPr>
      <w:r w:rsidRPr="00362CD9">
        <w:rPr>
          <w:rFonts w:ascii="Calibri" w:hAnsi="Calibri"/>
          <w:noProof/>
          <w:color w:val="auto"/>
          <w:sz w:val="22"/>
          <w:szCs w:val="22"/>
        </w:rPr>
        <w:lastRenderedPageBreak/>
        <w:pict>
          <v:shapetype id="_x0000_t202" coordsize="21600,21600" o:spt="202" path="m,l,21600r21600,l21600,xe">
            <v:stroke joinstyle="miter"/>
            <v:path gradientshapeok="t" o:connecttype="rect"/>
          </v:shapetype>
          <v:shape id="_x0000_s1027" type="#_x0000_t202" style="position:absolute;left:0;text-align:left;margin-left:-20.1pt;margin-top:48.25pt;width:525.6pt;height:92.85pt;z-index:251658240" filled="f" stroked="f">
            <v:textbox>
              <w:txbxContent>
                <w:p w:rsidR="0066479A" w:rsidRPr="00BA3D7A" w:rsidRDefault="0066479A">
                  <w:pPr>
                    <w:rPr>
                      <w:rFonts w:ascii="Arial" w:hAnsi="Arial" w:cs="Arial"/>
                      <w:color w:val="FFFFFF"/>
                      <w:spacing w:val="-20"/>
                      <w:sz w:val="50"/>
                      <w:szCs w:val="50"/>
                    </w:rPr>
                  </w:pPr>
                  <w:r w:rsidRPr="006A69CF">
                    <w:rPr>
                      <w:rFonts w:ascii="Arial" w:hAnsi="Arial" w:cs="Arial"/>
                      <w:color w:val="C00000"/>
                      <w:spacing w:val="-20"/>
                      <w:sz w:val="50"/>
                      <w:szCs w:val="50"/>
                    </w:rPr>
                    <w:t>Resources Global Professionals</w:t>
                  </w:r>
                  <w:r w:rsidRPr="00BA3D7A">
                    <w:rPr>
                      <w:rFonts w:ascii="Arial" w:hAnsi="Arial" w:cs="Arial"/>
                      <w:color w:val="FFFFFF"/>
                      <w:spacing w:val="-20"/>
                      <w:sz w:val="50"/>
                      <w:szCs w:val="50"/>
                    </w:rPr>
                    <w:br/>
                    <w:t>FTSE 100</w:t>
                  </w:r>
                  <w:r>
                    <w:rPr>
                      <w:rFonts w:ascii="Arial" w:hAnsi="Arial" w:cs="Arial"/>
                      <w:color w:val="FFFFFF"/>
                      <w:spacing w:val="-20"/>
                      <w:sz w:val="50"/>
                      <w:szCs w:val="50"/>
                    </w:rPr>
                    <w:t xml:space="preserve"> Resources Governance Index 2011</w:t>
                  </w:r>
                </w:p>
              </w:txbxContent>
            </v:textbox>
          </v:shape>
        </w:pict>
      </w:r>
    </w:p>
    <w:p w:rsidR="005960D5" w:rsidRDefault="005960D5">
      <w:pPr>
        <w:spacing w:after="0" w:line="240" w:lineRule="auto"/>
        <w:rPr>
          <w:rFonts w:ascii="Univers LT 55" w:eastAsia="DFKai-SB" w:hAnsi="Univers LT 55" w:cs="Cambria"/>
          <w:bCs/>
          <w:color w:val="FFFFFF"/>
          <w:sz w:val="28"/>
          <w:szCs w:val="28"/>
          <w:lang w:val="en-GB"/>
        </w:rPr>
      </w:pPr>
      <w:bookmarkStart w:id="0" w:name="_Toc273454133"/>
      <w:r>
        <w:br w:type="page"/>
      </w:r>
    </w:p>
    <w:bookmarkEnd w:id="0"/>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Default="005960D5" w:rsidP="005960D5">
      <w:pPr>
        <w:pStyle w:val="Body"/>
        <w:rPr>
          <w:color w:val="auto"/>
        </w:rPr>
      </w:pPr>
    </w:p>
    <w:p w:rsidR="005960D5" w:rsidRPr="00EC7B40" w:rsidRDefault="005960D5" w:rsidP="005960D5">
      <w:pPr>
        <w:pStyle w:val="Body"/>
        <w:rPr>
          <w:color w:val="auto"/>
        </w:rPr>
      </w:pPr>
    </w:p>
    <w:p w:rsidR="005960D5" w:rsidRPr="00BA3D7A" w:rsidRDefault="005960D5" w:rsidP="005960D5">
      <w:pPr>
        <w:pStyle w:val="Body"/>
        <w:spacing w:after="0"/>
        <w:rPr>
          <w:rFonts w:ascii="Arial" w:hAnsi="Arial" w:cs="Arial"/>
          <w:b/>
          <w:sz w:val="18"/>
          <w:szCs w:val="18"/>
        </w:rPr>
      </w:pPr>
      <w:r w:rsidRPr="00BA3D7A">
        <w:rPr>
          <w:rFonts w:ascii="Arial" w:hAnsi="Arial" w:cs="Arial"/>
          <w:sz w:val="16"/>
          <w:szCs w:val="16"/>
        </w:rPr>
        <w:t>©</w:t>
      </w:r>
      <w:r w:rsidRPr="00BA3D7A">
        <w:rPr>
          <w:rFonts w:ascii="Arial" w:hAnsi="Arial" w:cs="Arial"/>
          <w:b/>
          <w:sz w:val="18"/>
          <w:szCs w:val="18"/>
        </w:rPr>
        <w:t>201</w:t>
      </w:r>
      <w:r w:rsidR="00F14749">
        <w:rPr>
          <w:rFonts w:ascii="Arial" w:hAnsi="Arial" w:cs="Arial"/>
          <w:b/>
          <w:sz w:val="18"/>
          <w:szCs w:val="18"/>
        </w:rPr>
        <w:t>1</w:t>
      </w:r>
      <w:r w:rsidRPr="00BA3D7A">
        <w:rPr>
          <w:rFonts w:ascii="Arial" w:hAnsi="Arial" w:cs="Arial"/>
          <w:b/>
          <w:sz w:val="18"/>
          <w:szCs w:val="18"/>
        </w:rPr>
        <w:t xml:space="preserve">  Resources Global Professionals.  All Rights Reserved.</w:t>
      </w:r>
    </w:p>
    <w:p w:rsidR="005960D5" w:rsidRPr="00BA3D7A" w:rsidRDefault="005960D5" w:rsidP="005960D5">
      <w:pPr>
        <w:pStyle w:val="Body"/>
        <w:rPr>
          <w:rFonts w:ascii="Arial" w:hAnsi="Arial" w:cs="Arial"/>
        </w:rPr>
      </w:pPr>
      <w:r w:rsidRPr="00BA3D7A">
        <w:rPr>
          <w:rFonts w:ascii="Arial" w:hAnsi="Arial" w:cs="Arial"/>
          <w:i/>
          <w:color w:val="auto"/>
          <w:sz w:val="18"/>
          <w:szCs w:val="18"/>
        </w:rPr>
        <w:t xml:space="preserve">These materials may be reproduced only with Resources’ company name and logo included. All uses of the Resources Governance Index (RGI) must be properly identified as being the property and proprietary research </w:t>
      </w:r>
      <w:r w:rsidRPr="00BA3D7A">
        <w:rPr>
          <w:rFonts w:ascii="Arial" w:hAnsi="Arial" w:cs="Arial"/>
          <w:i/>
          <w:color w:val="auto"/>
          <w:sz w:val="18"/>
          <w:szCs w:val="18"/>
        </w:rPr>
        <w:br/>
        <w:t>of Resources.</w:t>
      </w:r>
    </w:p>
    <w:p w:rsidR="00423FFA" w:rsidRPr="007A04A8" w:rsidRDefault="00423FFA" w:rsidP="001E2FC3">
      <w:pPr>
        <w:pStyle w:val="Head1"/>
        <w:rPr>
          <w:rFonts w:ascii="Arial" w:hAnsi="Arial" w:cs="Arial"/>
          <w:b/>
        </w:rPr>
      </w:pPr>
      <w:r w:rsidRPr="007A04A8">
        <w:rPr>
          <w:rFonts w:ascii="Arial" w:hAnsi="Arial" w:cs="Arial"/>
          <w:b/>
        </w:rPr>
        <w:lastRenderedPageBreak/>
        <w:t>Table of Contents</w:t>
      </w:r>
    </w:p>
    <w:p w:rsidR="00700AB9" w:rsidRPr="00BA3D7A" w:rsidRDefault="00700AB9" w:rsidP="00700AB9">
      <w:pPr>
        <w:pStyle w:val="Body"/>
        <w:rPr>
          <w:rFonts w:ascii="Arial" w:hAnsi="Arial" w:cs="Arial"/>
        </w:rPr>
        <w:sectPr w:rsidR="00700AB9" w:rsidRPr="00BA3D7A" w:rsidSect="00636D8B">
          <w:footerReference w:type="default" r:id="rId12"/>
          <w:type w:val="continuous"/>
          <w:pgSz w:w="12240" w:h="15840"/>
          <w:pgMar w:top="1440" w:right="1440" w:bottom="1440" w:left="1440" w:header="708" w:footer="864" w:gutter="0"/>
          <w:pgNumType w:start="0"/>
          <w:cols w:space="708"/>
          <w:docGrid w:linePitch="360"/>
        </w:sectPr>
      </w:pPr>
    </w:p>
    <w:p w:rsidR="00B06432" w:rsidRPr="00BA3D7A" w:rsidRDefault="00B64E8E" w:rsidP="00B64E8E">
      <w:pPr>
        <w:pStyle w:val="Body"/>
        <w:tabs>
          <w:tab w:val="left" w:pos="5970"/>
        </w:tabs>
        <w:rPr>
          <w:rFonts w:ascii="Arial" w:eastAsia="PMingLiU" w:hAnsi="Arial" w:cs="Arial"/>
          <w:noProof/>
          <w:lang w:val="de-DE" w:eastAsia="de-DE"/>
        </w:rPr>
      </w:pPr>
      <w:r>
        <w:rPr>
          <w:rFonts w:ascii="Arial" w:eastAsia="PMingLiU" w:hAnsi="Arial" w:cs="Arial"/>
          <w:noProof/>
          <w:lang w:val="de-DE" w:eastAsia="de-DE"/>
        </w:rPr>
        <w:lastRenderedPageBreak/>
        <w:tab/>
      </w:r>
    </w:p>
    <w:tbl>
      <w:tblPr>
        <w:tblpPr w:leftFromText="180" w:rightFromText="180" w:vertAnchor="text" w:horzAnchor="margin" w:tblpXSpec="center" w:tblpY="137"/>
        <w:tblW w:w="8500" w:type="dxa"/>
        <w:tblCellMar>
          <w:left w:w="0" w:type="dxa"/>
          <w:right w:w="0" w:type="dxa"/>
        </w:tblCellMar>
        <w:tblLook w:val="04A0"/>
      </w:tblPr>
      <w:tblGrid>
        <w:gridCol w:w="7641"/>
        <w:gridCol w:w="859"/>
      </w:tblGrid>
      <w:tr w:rsidR="00A62D9E" w:rsidRPr="00A62D9E" w:rsidTr="003F0E53">
        <w:trPr>
          <w:trHeight w:val="716"/>
        </w:trPr>
        <w:tc>
          <w:tcPr>
            <w:tcW w:w="7641" w:type="dxa"/>
            <w:tcBorders>
              <w:top w:val="single" w:sz="18" w:space="0" w:color="000000"/>
              <w:left w:val="nil"/>
              <w:bottom w:val="nil"/>
              <w:right w:val="nil"/>
            </w:tcBorders>
            <w:shd w:val="clear" w:color="auto" w:fill="E7E7E7"/>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numPr>
                <w:ilvl w:val="0"/>
                <w:numId w:val="15"/>
              </w:num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Introduction</w:t>
            </w:r>
          </w:p>
        </w:tc>
        <w:tc>
          <w:tcPr>
            <w:tcW w:w="859" w:type="dxa"/>
            <w:tcBorders>
              <w:top w:val="single" w:sz="18" w:space="0" w:color="000000"/>
              <w:left w:val="nil"/>
              <w:bottom w:val="nil"/>
              <w:right w:val="nil"/>
            </w:tcBorders>
            <w:shd w:val="clear" w:color="auto" w:fill="E7E7E7"/>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1</w:t>
            </w:r>
          </w:p>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tc>
      </w:tr>
      <w:tr w:rsidR="00A62D9E" w:rsidRPr="00A62D9E" w:rsidTr="003F0E53">
        <w:trPr>
          <w:trHeight w:val="716"/>
        </w:trPr>
        <w:tc>
          <w:tcPr>
            <w:tcW w:w="7641" w:type="dxa"/>
            <w:tcBorders>
              <w:top w:val="nil"/>
              <w:left w:val="nil"/>
              <w:bottom w:val="nil"/>
              <w:right w:val="nil"/>
            </w:tcBorders>
            <w:shd w:val="clear" w:color="auto" w:fill="FFFFFF"/>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numPr>
                <w:ilvl w:val="0"/>
                <w:numId w:val="15"/>
              </w:num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Key Findings</w:t>
            </w:r>
          </w:p>
        </w:tc>
        <w:tc>
          <w:tcPr>
            <w:tcW w:w="859" w:type="dxa"/>
            <w:tcBorders>
              <w:top w:val="nil"/>
              <w:left w:val="nil"/>
              <w:bottom w:val="nil"/>
              <w:right w:val="nil"/>
            </w:tcBorders>
            <w:shd w:val="clear" w:color="auto" w:fill="FFFFFF"/>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2</w:t>
            </w:r>
          </w:p>
        </w:tc>
      </w:tr>
      <w:tr w:rsidR="00A62D9E" w:rsidRPr="00A62D9E" w:rsidTr="003F0E53">
        <w:trPr>
          <w:trHeight w:val="716"/>
        </w:trPr>
        <w:tc>
          <w:tcPr>
            <w:tcW w:w="7641" w:type="dxa"/>
            <w:tcBorders>
              <w:top w:val="nil"/>
              <w:left w:val="nil"/>
              <w:bottom w:val="nil"/>
              <w:right w:val="nil"/>
            </w:tcBorders>
            <w:shd w:val="clear" w:color="auto" w:fill="E7E7E7"/>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numPr>
                <w:ilvl w:val="0"/>
                <w:numId w:val="15"/>
              </w:num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Results</w:t>
            </w:r>
          </w:p>
          <w:p w:rsidR="00A62D9E" w:rsidRPr="00A62D9E" w:rsidRDefault="00A62D9E" w:rsidP="003F0E53">
            <w:pPr>
              <w:autoSpaceDE w:val="0"/>
              <w:autoSpaceDN w:val="0"/>
              <w:adjustRightInd w:val="0"/>
              <w:spacing w:after="0" w:line="240" w:lineRule="auto"/>
              <w:ind w:left="720"/>
              <w:rPr>
                <w:rFonts w:ascii="Arial" w:eastAsia="Calibri" w:hAnsi="Arial" w:cs="Arial"/>
                <w:sz w:val="21"/>
                <w:szCs w:val="21"/>
                <w:lang w:val="en-GB" w:eastAsia="en-GB"/>
              </w:rPr>
            </w:pPr>
          </w:p>
          <w:p w:rsidR="00A62D9E" w:rsidRPr="00A62D9E" w:rsidRDefault="00A62D9E" w:rsidP="003F0E53">
            <w:pPr>
              <w:autoSpaceDE w:val="0"/>
              <w:autoSpaceDN w:val="0"/>
              <w:adjustRightInd w:val="0"/>
              <w:spacing w:after="0" w:line="360" w:lineRule="auto"/>
              <w:ind w:left="983"/>
              <w:rPr>
                <w:rFonts w:ascii="Arial" w:eastAsia="Calibri" w:hAnsi="Arial" w:cs="Arial"/>
                <w:sz w:val="21"/>
                <w:szCs w:val="21"/>
                <w:lang w:val="en-GB" w:eastAsia="en-GB"/>
              </w:rPr>
            </w:pPr>
            <w:r w:rsidRPr="00A62D9E">
              <w:rPr>
                <w:rFonts w:ascii="Arial" w:eastAsia="Calibri" w:hAnsi="Arial" w:cs="Arial"/>
                <w:sz w:val="21"/>
                <w:szCs w:val="21"/>
                <w:lang w:val="en-GB" w:eastAsia="en-GB"/>
              </w:rPr>
              <w:t>3.1)   The FTSE RGI Top 25 in 2010</w:t>
            </w:r>
          </w:p>
          <w:p w:rsidR="00A62D9E" w:rsidRPr="00A62D9E" w:rsidRDefault="00A62D9E" w:rsidP="003F0E53">
            <w:pPr>
              <w:autoSpaceDE w:val="0"/>
              <w:autoSpaceDN w:val="0"/>
              <w:adjustRightInd w:val="0"/>
              <w:spacing w:after="0" w:line="360" w:lineRule="auto"/>
              <w:ind w:left="983"/>
              <w:rPr>
                <w:rFonts w:ascii="Arial" w:eastAsia="Calibri" w:hAnsi="Arial" w:cs="Arial"/>
                <w:sz w:val="21"/>
                <w:szCs w:val="21"/>
                <w:lang w:val="en-GB" w:eastAsia="en-GB"/>
              </w:rPr>
            </w:pPr>
            <w:r w:rsidRPr="00A62D9E">
              <w:rPr>
                <w:rFonts w:ascii="Arial" w:eastAsia="Calibri" w:hAnsi="Arial" w:cs="Arial"/>
                <w:sz w:val="21"/>
                <w:szCs w:val="21"/>
                <w:lang w:val="en-GB" w:eastAsia="en-GB"/>
              </w:rPr>
              <w:t>3.2)   The FTSE RGI Top 25 in 2009</w:t>
            </w:r>
          </w:p>
          <w:p w:rsidR="00A62D9E" w:rsidRPr="00A62D9E" w:rsidRDefault="00A62D9E" w:rsidP="003F0E53">
            <w:pPr>
              <w:autoSpaceDE w:val="0"/>
              <w:autoSpaceDN w:val="0"/>
              <w:adjustRightInd w:val="0"/>
              <w:spacing w:after="0" w:line="360" w:lineRule="auto"/>
              <w:ind w:left="983"/>
              <w:rPr>
                <w:rFonts w:ascii="Arial" w:eastAsia="Calibri" w:hAnsi="Arial" w:cs="Arial"/>
                <w:sz w:val="21"/>
                <w:szCs w:val="21"/>
                <w:lang w:val="en-GB" w:eastAsia="en-GB"/>
              </w:rPr>
            </w:pPr>
            <w:r w:rsidRPr="00A62D9E">
              <w:rPr>
                <w:rFonts w:ascii="Arial" w:eastAsia="Calibri" w:hAnsi="Arial" w:cs="Arial"/>
                <w:sz w:val="21"/>
                <w:szCs w:val="21"/>
                <w:lang w:val="en-GB" w:eastAsia="en-GB"/>
              </w:rPr>
              <w:t>3.3)   Overall Results</w:t>
            </w:r>
          </w:p>
        </w:tc>
        <w:tc>
          <w:tcPr>
            <w:tcW w:w="859" w:type="dxa"/>
            <w:tcBorders>
              <w:top w:val="nil"/>
              <w:left w:val="nil"/>
              <w:bottom w:val="nil"/>
              <w:right w:val="nil"/>
            </w:tcBorders>
            <w:shd w:val="clear" w:color="auto" w:fill="E7E7E7"/>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4</w:t>
            </w:r>
          </w:p>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autoSpaceDE w:val="0"/>
              <w:autoSpaceDN w:val="0"/>
              <w:adjustRightInd w:val="0"/>
              <w:spacing w:after="0" w:line="36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5</w:t>
            </w:r>
          </w:p>
          <w:p w:rsidR="00A62D9E" w:rsidRPr="00A62D9E" w:rsidRDefault="00A62D9E" w:rsidP="003F0E53">
            <w:pPr>
              <w:autoSpaceDE w:val="0"/>
              <w:autoSpaceDN w:val="0"/>
              <w:adjustRightInd w:val="0"/>
              <w:spacing w:after="0" w:line="36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6</w:t>
            </w:r>
          </w:p>
          <w:p w:rsidR="00A62D9E" w:rsidRPr="00A62D9E" w:rsidRDefault="00A62D9E" w:rsidP="003F0E53">
            <w:pPr>
              <w:autoSpaceDE w:val="0"/>
              <w:autoSpaceDN w:val="0"/>
              <w:adjustRightInd w:val="0"/>
              <w:spacing w:after="0" w:line="36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6</w:t>
            </w:r>
          </w:p>
        </w:tc>
      </w:tr>
      <w:tr w:rsidR="00A62D9E" w:rsidRPr="00A62D9E" w:rsidTr="003F0E53">
        <w:trPr>
          <w:trHeight w:val="716"/>
        </w:trPr>
        <w:tc>
          <w:tcPr>
            <w:tcW w:w="7641" w:type="dxa"/>
            <w:tcBorders>
              <w:top w:val="nil"/>
              <w:left w:val="nil"/>
              <w:bottom w:val="nil"/>
              <w:right w:val="nil"/>
            </w:tcBorders>
            <w:shd w:val="clear" w:color="auto" w:fill="FFFFFF"/>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ind w:left="720"/>
              <w:rPr>
                <w:rFonts w:ascii="Arial" w:eastAsia="Calibri" w:hAnsi="Arial" w:cs="Arial"/>
                <w:sz w:val="21"/>
                <w:szCs w:val="21"/>
                <w:lang w:val="en-GB" w:eastAsia="en-GB"/>
              </w:rPr>
            </w:pPr>
          </w:p>
          <w:p w:rsidR="00A62D9E" w:rsidRPr="00A62D9E" w:rsidRDefault="00A62D9E" w:rsidP="003F0E53">
            <w:pPr>
              <w:numPr>
                <w:ilvl w:val="0"/>
                <w:numId w:val="15"/>
              </w:num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How is the RGI calculated?</w:t>
            </w:r>
          </w:p>
          <w:p w:rsidR="00A62D9E" w:rsidRPr="00A62D9E" w:rsidRDefault="00A62D9E" w:rsidP="003F0E53">
            <w:pPr>
              <w:autoSpaceDE w:val="0"/>
              <w:autoSpaceDN w:val="0"/>
              <w:adjustRightInd w:val="0"/>
              <w:spacing w:after="0" w:line="240" w:lineRule="auto"/>
              <w:ind w:left="720"/>
              <w:rPr>
                <w:rFonts w:ascii="Arial" w:eastAsia="Calibri" w:hAnsi="Arial" w:cs="Arial"/>
                <w:sz w:val="21"/>
                <w:szCs w:val="21"/>
                <w:lang w:val="en-GB" w:eastAsia="en-GB"/>
              </w:rPr>
            </w:pPr>
          </w:p>
          <w:p w:rsidR="00A62D9E" w:rsidRPr="00A62D9E" w:rsidRDefault="00A62D9E" w:rsidP="003F0E53">
            <w:pPr>
              <w:autoSpaceDE w:val="0"/>
              <w:autoSpaceDN w:val="0"/>
              <w:adjustRightInd w:val="0"/>
              <w:spacing w:after="0" w:line="360" w:lineRule="auto"/>
              <w:ind w:left="720"/>
              <w:rPr>
                <w:rFonts w:ascii="Arial" w:eastAsia="Calibri" w:hAnsi="Arial" w:cs="Arial"/>
                <w:sz w:val="21"/>
                <w:szCs w:val="21"/>
                <w:lang w:val="en-GB" w:eastAsia="en-GB"/>
              </w:rPr>
            </w:pPr>
            <w:r w:rsidRPr="00A62D9E">
              <w:rPr>
                <w:rFonts w:ascii="Arial" w:eastAsia="Calibri" w:hAnsi="Arial" w:cs="Arial"/>
                <w:sz w:val="21"/>
                <w:szCs w:val="21"/>
                <w:lang w:val="en-GB" w:eastAsia="en-GB"/>
              </w:rPr>
              <w:t>4.1) Compliance</w:t>
            </w:r>
          </w:p>
          <w:p w:rsidR="00A62D9E" w:rsidRPr="00A62D9E" w:rsidRDefault="00A62D9E" w:rsidP="003F0E53">
            <w:pPr>
              <w:autoSpaceDE w:val="0"/>
              <w:autoSpaceDN w:val="0"/>
              <w:adjustRightInd w:val="0"/>
              <w:spacing w:after="0" w:line="360" w:lineRule="auto"/>
              <w:ind w:left="720"/>
              <w:rPr>
                <w:rFonts w:ascii="Arial" w:eastAsia="Calibri" w:hAnsi="Arial" w:cs="Arial"/>
                <w:sz w:val="21"/>
                <w:szCs w:val="21"/>
                <w:lang w:val="en-GB" w:eastAsia="en-GB"/>
              </w:rPr>
            </w:pPr>
            <w:r w:rsidRPr="00A62D9E">
              <w:rPr>
                <w:rFonts w:ascii="Arial" w:eastAsia="Calibri" w:hAnsi="Arial" w:cs="Arial"/>
                <w:sz w:val="21"/>
                <w:szCs w:val="21"/>
                <w:lang w:val="en-GB" w:eastAsia="en-GB"/>
              </w:rPr>
              <w:t>4.2) Capacity</w:t>
            </w:r>
          </w:p>
          <w:p w:rsidR="00A62D9E" w:rsidRPr="00A62D9E" w:rsidRDefault="00A62D9E" w:rsidP="003F0E53">
            <w:pPr>
              <w:autoSpaceDE w:val="0"/>
              <w:autoSpaceDN w:val="0"/>
              <w:adjustRightInd w:val="0"/>
              <w:spacing w:after="0" w:line="360" w:lineRule="auto"/>
              <w:ind w:left="720"/>
              <w:rPr>
                <w:rFonts w:ascii="Arial" w:eastAsia="Calibri" w:hAnsi="Arial" w:cs="Arial"/>
                <w:sz w:val="21"/>
                <w:szCs w:val="21"/>
                <w:lang w:val="en-GB" w:eastAsia="en-GB"/>
              </w:rPr>
            </w:pPr>
            <w:r w:rsidRPr="00A62D9E">
              <w:rPr>
                <w:rFonts w:ascii="Arial" w:eastAsia="Calibri" w:hAnsi="Arial" w:cs="Arial"/>
                <w:sz w:val="21"/>
                <w:szCs w:val="21"/>
                <w:lang w:val="en-GB" w:eastAsia="en-GB"/>
              </w:rPr>
              <w:t>4.3) Commitment</w:t>
            </w:r>
          </w:p>
          <w:p w:rsidR="00A62D9E" w:rsidRPr="00A62D9E" w:rsidRDefault="00A62D9E" w:rsidP="003F0E53">
            <w:pPr>
              <w:autoSpaceDE w:val="0"/>
              <w:autoSpaceDN w:val="0"/>
              <w:adjustRightInd w:val="0"/>
              <w:spacing w:after="0" w:line="360" w:lineRule="auto"/>
              <w:ind w:left="720"/>
              <w:rPr>
                <w:rFonts w:ascii="Arial" w:eastAsia="Calibri" w:hAnsi="Arial" w:cs="Arial"/>
                <w:sz w:val="21"/>
                <w:szCs w:val="21"/>
                <w:lang w:val="en-GB" w:eastAsia="en-GB"/>
              </w:rPr>
            </w:pPr>
            <w:r w:rsidRPr="00A62D9E">
              <w:rPr>
                <w:rFonts w:ascii="Arial" w:eastAsia="Calibri" w:hAnsi="Arial" w:cs="Arial"/>
                <w:sz w:val="21"/>
                <w:szCs w:val="21"/>
                <w:lang w:val="en-GB" w:eastAsia="en-GB"/>
              </w:rPr>
              <w:t>4.4) Additional Credit / Plus Mark</w:t>
            </w:r>
          </w:p>
          <w:p w:rsidR="00A62D9E" w:rsidRPr="00A62D9E" w:rsidRDefault="00A62D9E" w:rsidP="003F0E53">
            <w:pPr>
              <w:autoSpaceDE w:val="0"/>
              <w:autoSpaceDN w:val="0"/>
              <w:adjustRightInd w:val="0"/>
              <w:spacing w:after="0" w:line="360" w:lineRule="auto"/>
              <w:ind w:left="720"/>
              <w:rPr>
                <w:rFonts w:ascii="Arial" w:eastAsia="Calibri" w:hAnsi="Arial" w:cs="Arial"/>
                <w:sz w:val="21"/>
                <w:szCs w:val="21"/>
                <w:lang w:val="en-GB" w:eastAsia="en-GB"/>
              </w:rPr>
            </w:pPr>
            <w:r w:rsidRPr="00A62D9E">
              <w:rPr>
                <w:rFonts w:ascii="Arial" w:eastAsia="Calibri" w:hAnsi="Arial" w:cs="Arial"/>
                <w:sz w:val="21"/>
                <w:szCs w:val="21"/>
                <w:lang w:val="en-GB" w:eastAsia="en-GB"/>
              </w:rPr>
              <w:t>4.5) Final Calculation of the RGI</w:t>
            </w:r>
          </w:p>
        </w:tc>
        <w:tc>
          <w:tcPr>
            <w:tcW w:w="859" w:type="dxa"/>
            <w:tcBorders>
              <w:top w:val="nil"/>
              <w:left w:val="nil"/>
              <w:bottom w:val="nil"/>
              <w:right w:val="nil"/>
            </w:tcBorders>
            <w:shd w:val="clear" w:color="auto" w:fill="FFFFFF"/>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8</w:t>
            </w:r>
          </w:p>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autoSpaceDE w:val="0"/>
              <w:autoSpaceDN w:val="0"/>
              <w:adjustRightInd w:val="0"/>
              <w:spacing w:after="0" w:line="36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8</w:t>
            </w:r>
          </w:p>
          <w:p w:rsidR="00A62D9E" w:rsidRPr="00A62D9E" w:rsidRDefault="00A62D9E" w:rsidP="003F0E53">
            <w:pPr>
              <w:autoSpaceDE w:val="0"/>
              <w:autoSpaceDN w:val="0"/>
              <w:adjustRightInd w:val="0"/>
              <w:spacing w:after="0" w:line="36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9</w:t>
            </w:r>
          </w:p>
          <w:p w:rsidR="00A62D9E" w:rsidRPr="00A62D9E" w:rsidRDefault="00A62D9E" w:rsidP="003F0E53">
            <w:pPr>
              <w:autoSpaceDE w:val="0"/>
              <w:autoSpaceDN w:val="0"/>
              <w:adjustRightInd w:val="0"/>
              <w:spacing w:after="0" w:line="36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10</w:t>
            </w:r>
          </w:p>
          <w:p w:rsidR="00A62D9E" w:rsidRPr="00A62D9E" w:rsidRDefault="00A62D9E" w:rsidP="003F0E53">
            <w:pPr>
              <w:autoSpaceDE w:val="0"/>
              <w:autoSpaceDN w:val="0"/>
              <w:adjustRightInd w:val="0"/>
              <w:spacing w:after="0" w:line="36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12</w:t>
            </w:r>
          </w:p>
          <w:p w:rsidR="00A62D9E" w:rsidRPr="00A62D9E" w:rsidRDefault="00A62D9E" w:rsidP="003F0E53">
            <w:pPr>
              <w:autoSpaceDE w:val="0"/>
              <w:autoSpaceDN w:val="0"/>
              <w:adjustRightInd w:val="0"/>
              <w:spacing w:after="0" w:line="36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12</w:t>
            </w:r>
          </w:p>
        </w:tc>
      </w:tr>
      <w:tr w:rsidR="00A62D9E" w:rsidRPr="00A62D9E" w:rsidTr="003F0E53">
        <w:trPr>
          <w:trHeight w:val="716"/>
        </w:trPr>
        <w:tc>
          <w:tcPr>
            <w:tcW w:w="7641" w:type="dxa"/>
            <w:tcBorders>
              <w:top w:val="nil"/>
              <w:left w:val="nil"/>
              <w:bottom w:val="single" w:sz="18" w:space="0" w:color="000000"/>
              <w:right w:val="nil"/>
            </w:tcBorders>
            <w:shd w:val="clear" w:color="auto" w:fill="E7E7E7"/>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numPr>
                <w:ilvl w:val="0"/>
                <w:numId w:val="15"/>
              </w:num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Further Information</w:t>
            </w:r>
          </w:p>
        </w:tc>
        <w:tc>
          <w:tcPr>
            <w:tcW w:w="859" w:type="dxa"/>
            <w:tcBorders>
              <w:top w:val="nil"/>
              <w:left w:val="nil"/>
              <w:bottom w:val="single" w:sz="18" w:space="0" w:color="000000"/>
              <w:right w:val="nil"/>
            </w:tcBorders>
            <w:shd w:val="clear" w:color="auto" w:fill="E7E7E7"/>
            <w:tcMar>
              <w:top w:w="72" w:type="dxa"/>
              <w:left w:w="144" w:type="dxa"/>
              <w:bottom w:w="72" w:type="dxa"/>
              <w:right w:w="144" w:type="dxa"/>
            </w:tcMar>
            <w:hideMark/>
          </w:tcPr>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p>
          <w:p w:rsidR="00A62D9E" w:rsidRPr="00A62D9E" w:rsidRDefault="00A62D9E" w:rsidP="003F0E53">
            <w:pPr>
              <w:autoSpaceDE w:val="0"/>
              <w:autoSpaceDN w:val="0"/>
              <w:adjustRightInd w:val="0"/>
              <w:spacing w:after="0" w:line="240" w:lineRule="auto"/>
              <w:rPr>
                <w:rFonts w:ascii="Arial" w:eastAsia="Calibri" w:hAnsi="Arial" w:cs="Arial"/>
                <w:sz w:val="21"/>
                <w:szCs w:val="21"/>
                <w:lang w:val="en-GB" w:eastAsia="en-GB"/>
              </w:rPr>
            </w:pPr>
            <w:r w:rsidRPr="00A62D9E">
              <w:rPr>
                <w:rFonts w:ascii="Arial" w:eastAsia="Calibri" w:hAnsi="Arial" w:cs="Arial"/>
                <w:sz w:val="21"/>
                <w:szCs w:val="21"/>
                <w:lang w:val="en-GB" w:eastAsia="en-GB"/>
              </w:rPr>
              <w:t>13</w:t>
            </w:r>
          </w:p>
        </w:tc>
      </w:tr>
      <w:tr w:rsidR="00A62D9E" w:rsidTr="003F0E53">
        <w:tblPrEx>
          <w:tblBorders>
            <w:top w:val="single" w:sz="4" w:space="0" w:color="auto"/>
          </w:tblBorders>
          <w:tblCellMar>
            <w:left w:w="108" w:type="dxa"/>
            <w:right w:w="108" w:type="dxa"/>
          </w:tblCellMar>
          <w:tblLook w:val="0000"/>
        </w:tblPrEx>
        <w:trPr>
          <w:trHeight w:val="100"/>
        </w:trPr>
        <w:tc>
          <w:tcPr>
            <w:tcW w:w="8500" w:type="dxa"/>
            <w:gridSpan w:val="2"/>
            <w:tcBorders>
              <w:top w:val="single" w:sz="18" w:space="0" w:color="000000"/>
            </w:tcBorders>
            <w:vAlign w:val="bottom"/>
          </w:tcPr>
          <w:p w:rsidR="00A62D9E" w:rsidRDefault="00A62D9E" w:rsidP="003F0E53">
            <w:pPr>
              <w:autoSpaceDE w:val="0"/>
              <w:autoSpaceDN w:val="0"/>
              <w:adjustRightInd w:val="0"/>
              <w:spacing w:after="0" w:line="240" w:lineRule="auto"/>
              <w:ind w:firstLine="720"/>
              <w:rPr>
                <w:rFonts w:ascii="Arial" w:eastAsia="Calibri" w:hAnsi="Arial" w:cs="Arial"/>
                <w:color w:val="FFFFFF"/>
                <w:sz w:val="27"/>
                <w:szCs w:val="27"/>
                <w:lang w:val="en-GB" w:eastAsia="en-GB"/>
              </w:rPr>
            </w:pPr>
          </w:p>
        </w:tc>
      </w:tr>
    </w:tbl>
    <w:p w:rsidR="00186A0E" w:rsidRPr="001C04B9" w:rsidRDefault="001C04B9" w:rsidP="001C04B9">
      <w:pPr>
        <w:autoSpaceDE w:val="0"/>
        <w:autoSpaceDN w:val="0"/>
        <w:adjustRightInd w:val="0"/>
        <w:spacing w:after="0" w:line="240" w:lineRule="auto"/>
        <w:rPr>
          <w:rFonts w:ascii="Arial" w:eastAsia="Calibri" w:hAnsi="Arial" w:cs="Arial"/>
          <w:color w:val="FFFFFF"/>
          <w:sz w:val="27"/>
          <w:szCs w:val="27"/>
          <w:lang w:val="en-GB" w:eastAsia="en-GB"/>
        </w:rPr>
      </w:pPr>
      <w:r w:rsidRPr="001C04B9">
        <w:rPr>
          <w:rFonts w:ascii="Arial" w:eastAsia="Calibri" w:hAnsi="Arial" w:cs="Arial"/>
          <w:color w:val="FFFFFF"/>
          <w:sz w:val="27"/>
          <w:szCs w:val="27"/>
          <w:lang w:val="en-GB" w:eastAsia="en-GB"/>
        </w:rPr>
        <w:t>T</w:t>
      </w:r>
    </w:p>
    <w:p w:rsidR="007F2593" w:rsidRPr="007A04A8" w:rsidRDefault="00700AB9" w:rsidP="001E2FC3">
      <w:pPr>
        <w:pStyle w:val="Head1"/>
        <w:rPr>
          <w:rFonts w:ascii="Arial" w:hAnsi="Arial" w:cs="Arial"/>
          <w:b/>
        </w:rPr>
      </w:pPr>
      <w:bookmarkStart w:id="1" w:name="_Toc273454134"/>
      <w:r w:rsidRPr="007A04A8">
        <w:rPr>
          <w:rFonts w:ascii="Arial" w:hAnsi="Arial" w:cs="Arial"/>
          <w:b/>
        </w:rPr>
        <w:lastRenderedPageBreak/>
        <w:t xml:space="preserve">1  </w:t>
      </w:r>
      <w:r w:rsidR="002F7F22" w:rsidRPr="007A04A8">
        <w:rPr>
          <w:rFonts w:ascii="Arial" w:hAnsi="Arial" w:cs="Arial"/>
          <w:b/>
        </w:rPr>
        <w:t>Introduction</w:t>
      </w:r>
      <w:bookmarkEnd w:id="1"/>
    </w:p>
    <w:p w:rsidR="002255EB" w:rsidRPr="002255EB" w:rsidRDefault="002255EB" w:rsidP="002255EB">
      <w:pPr>
        <w:pStyle w:val="Body"/>
        <w:rPr>
          <w:rFonts w:ascii="Arial" w:hAnsi="Arial" w:cs="Arial"/>
          <w:lang w:val="en-GB"/>
        </w:rPr>
      </w:pPr>
      <w:r w:rsidRPr="002255EB">
        <w:rPr>
          <w:rFonts w:ascii="Arial" w:hAnsi="Arial" w:cs="Arial"/>
          <w:lang w:val="en-GB"/>
        </w:rPr>
        <w:t>This is the third year we have surveyed the corporate governance standards of the FTSE 100.  The Resources Governance Index (RGI) provides a benchmark across the largest UK listed companies and, with the third set of results, the basis for starting to identify emerging trends. The Resources Governance Index has now been extended to cover European companies in the Euro Stoxx 50® -Europe's leading Blue-chip index for the Eurozone. These results are published by Resources Global Professionals in a separate rep</w:t>
      </w:r>
      <w:r w:rsidR="00C53CF0">
        <w:rPr>
          <w:rFonts w:ascii="Arial" w:hAnsi="Arial" w:cs="Arial"/>
          <w:lang w:val="en-GB"/>
        </w:rPr>
        <w:t>ort.</w:t>
      </w:r>
    </w:p>
    <w:p w:rsidR="002255EB" w:rsidRDefault="002255EB" w:rsidP="002255EB">
      <w:pPr>
        <w:pStyle w:val="Body"/>
        <w:rPr>
          <w:rFonts w:ascii="Arial" w:hAnsi="Arial" w:cs="Arial"/>
          <w:lang w:val="en-GB"/>
        </w:rPr>
      </w:pPr>
      <w:r w:rsidRPr="002255EB">
        <w:rPr>
          <w:rFonts w:ascii="Arial" w:hAnsi="Arial" w:cs="Arial"/>
          <w:lang w:val="en-GB"/>
        </w:rPr>
        <w:t>Governance has been much in the spotlight this year due to the News International affair and the close examination of the con</w:t>
      </w:r>
      <w:r w:rsidR="00011E7A">
        <w:rPr>
          <w:rFonts w:ascii="Arial" w:hAnsi="Arial" w:cs="Arial"/>
          <w:lang w:val="en-GB"/>
        </w:rPr>
        <w:t>trols at the top of the Murdoch</w:t>
      </w:r>
      <w:r w:rsidRPr="002255EB">
        <w:rPr>
          <w:rFonts w:ascii="Arial" w:hAnsi="Arial" w:cs="Arial"/>
          <w:lang w:val="en-GB"/>
        </w:rPr>
        <w:t>s</w:t>
      </w:r>
      <w:r w:rsidR="00011E7A">
        <w:rPr>
          <w:rFonts w:ascii="Arial" w:hAnsi="Arial" w:cs="Arial"/>
          <w:lang w:val="en-GB"/>
        </w:rPr>
        <w:t>’</w:t>
      </w:r>
      <w:r w:rsidRPr="002255EB">
        <w:rPr>
          <w:rFonts w:ascii="Arial" w:hAnsi="Arial" w:cs="Arial"/>
          <w:lang w:val="en-GB"/>
        </w:rPr>
        <w:t xml:space="preserve"> organisations. </w:t>
      </w:r>
      <w:r>
        <w:rPr>
          <w:rFonts w:ascii="Arial" w:hAnsi="Arial" w:cs="Arial"/>
          <w:lang w:val="en-GB"/>
        </w:rPr>
        <w:t>Similarly The Independent Banking Commission has focussed on financial services</w:t>
      </w:r>
      <w:r w:rsidR="00011E7A">
        <w:rPr>
          <w:rFonts w:ascii="Arial" w:hAnsi="Arial" w:cs="Arial"/>
          <w:lang w:val="en-GB"/>
        </w:rPr>
        <w:t>’</w:t>
      </w:r>
      <w:r>
        <w:rPr>
          <w:rFonts w:ascii="Arial" w:hAnsi="Arial" w:cs="Arial"/>
          <w:lang w:val="en-GB"/>
        </w:rPr>
        <w:t xml:space="preserve"> governance. While these events have</w:t>
      </w:r>
      <w:r w:rsidRPr="002255EB">
        <w:rPr>
          <w:rFonts w:ascii="Arial" w:hAnsi="Arial" w:cs="Arial"/>
          <w:lang w:val="en-GB"/>
        </w:rPr>
        <w:t xml:space="preserve"> been headline-grabbing, incremental changes across boardrooms and organisations are just as important. Our results for 2011 suggest some interesting changes; we will, of course, have to wait for future reviews to see if these become long-term trends.</w:t>
      </w:r>
    </w:p>
    <w:p w:rsidR="001E3954" w:rsidRPr="00BA3D7A" w:rsidRDefault="001E3954" w:rsidP="001E3954">
      <w:pPr>
        <w:pStyle w:val="Body"/>
        <w:spacing w:after="120"/>
        <w:rPr>
          <w:rFonts w:ascii="Arial" w:hAnsi="Arial" w:cs="Arial"/>
          <w:lang w:val="en-GB"/>
        </w:rPr>
      </w:pPr>
      <w:r w:rsidRPr="00BA3D7A">
        <w:rPr>
          <w:rFonts w:ascii="Arial" w:hAnsi="Arial" w:cs="Arial"/>
          <w:lang w:val="en-GB"/>
        </w:rPr>
        <w:t xml:space="preserve">The Index is constructed around three </w:t>
      </w:r>
      <w:r>
        <w:rPr>
          <w:rFonts w:ascii="Arial" w:hAnsi="Arial" w:cs="Arial"/>
          <w:lang w:val="en-GB"/>
        </w:rPr>
        <w:t xml:space="preserve">categories or </w:t>
      </w:r>
      <w:r w:rsidRPr="00BA3D7A">
        <w:rPr>
          <w:rFonts w:ascii="Arial" w:hAnsi="Arial" w:cs="Arial"/>
          <w:lang w:val="en-GB"/>
        </w:rPr>
        <w:t>dimensions of corporate governance:</w:t>
      </w:r>
    </w:p>
    <w:p w:rsidR="001E3954" w:rsidRPr="00BA3D7A" w:rsidRDefault="001E3954" w:rsidP="00AC70F4">
      <w:pPr>
        <w:pStyle w:val="Bullet1"/>
        <w:numPr>
          <w:ilvl w:val="0"/>
          <w:numId w:val="7"/>
        </w:numPr>
        <w:rPr>
          <w:rFonts w:ascii="Arial" w:hAnsi="Arial" w:cs="Arial"/>
        </w:rPr>
      </w:pPr>
      <w:r w:rsidRPr="00BA3D7A">
        <w:rPr>
          <w:rFonts w:ascii="Arial" w:hAnsi="Arial" w:cs="Arial"/>
        </w:rPr>
        <w:t xml:space="preserve">Compliance </w:t>
      </w:r>
    </w:p>
    <w:p w:rsidR="001E3954" w:rsidRPr="00BA3D7A" w:rsidRDefault="001E3954" w:rsidP="00AC70F4">
      <w:pPr>
        <w:pStyle w:val="Bullet1"/>
        <w:numPr>
          <w:ilvl w:val="0"/>
          <w:numId w:val="7"/>
        </w:numPr>
        <w:rPr>
          <w:rFonts w:ascii="Arial" w:hAnsi="Arial" w:cs="Arial"/>
        </w:rPr>
      </w:pPr>
      <w:r w:rsidRPr="00BA3D7A">
        <w:rPr>
          <w:rFonts w:ascii="Arial" w:hAnsi="Arial" w:cs="Arial"/>
        </w:rPr>
        <w:t>Capacity</w:t>
      </w:r>
    </w:p>
    <w:p w:rsidR="001E3954" w:rsidRPr="00BA3D7A" w:rsidRDefault="001E3954" w:rsidP="00AC70F4">
      <w:pPr>
        <w:pStyle w:val="Bullet1"/>
        <w:numPr>
          <w:ilvl w:val="0"/>
          <w:numId w:val="7"/>
        </w:numPr>
        <w:rPr>
          <w:rFonts w:ascii="Arial" w:hAnsi="Arial" w:cs="Arial"/>
        </w:rPr>
      </w:pPr>
      <w:r w:rsidRPr="00BA3D7A">
        <w:rPr>
          <w:rFonts w:ascii="Arial" w:hAnsi="Arial" w:cs="Arial"/>
        </w:rPr>
        <w:t>Commitment</w:t>
      </w:r>
    </w:p>
    <w:p w:rsidR="001E3954" w:rsidRDefault="001E3954" w:rsidP="002255EB">
      <w:pPr>
        <w:pStyle w:val="Body"/>
        <w:rPr>
          <w:rFonts w:ascii="Arial" w:hAnsi="Arial" w:cs="Arial"/>
          <w:lang w:val="en-GB"/>
        </w:rPr>
      </w:pPr>
      <w:r>
        <w:rPr>
          <w:rFonts w:ascii="Arial" w:hAnsi="Arial" w:cs="Arial"/>
          <w:lang w:val="en-GB"/>
        </w:rPr>
        <w:t xml:space="preserve">Each category is scored A to F on the basis of a </w:t>
      </w:r>
      <w:r w:rsidR="00C53CF0">
        <w:rPr>
          <w:rFonts w:ascii="Arial" w:hAnsi="Arial" w:cs="Arial"/>
          <w:lang w:val="en-GB"/>
        </w:rPr>
        <w:t xml:space="preserve">considerable number </w:t>
      </w:r>
      <w:r>
        <w:rPr>
          <w:rFonts w:ascii="Arial" w:hAnsi="Arial" w:cs="Arial"/>
          <w:lang w:val="en-GB"/>
        </w:rPr>
        <w:t>of individual measures. An additional ‘bonus’ is given to companies that are particularly transparent and open to external evaluation, which we see as a positive factor. Interestingly, this component has seen something of a slight decline in 2011.</w:t>
      </w:r>
    </w:p>
    <w:p w:rsidR="00487135" w:rsidRDefault="002255EB" w:rsidP="002F7F22">
      <w:pPr>
        <w:pStyle w:val="Body"/>
        <w:rPr>
          <w:rFonts w:ascii="Arial" w:hAnsi="Arial" w:cs="Arial"/>
        </w:rPr>
      </w:pPr>
      <w:r>
        <w:rPr>
          <w:rFonts w:ascii="Arial" w:hAnsi="Arial" w:cs="Arial"/>
        </w:rPr>
        <w:t xml:space="preserve">We believe that </w:t>
      </w:r>
      <w:r w:rsidRPr="00BA3D7A">
        <w:rPr>
          <w:rFonts w:ascii="Arial" w:hAnsi="Arial" w:cs="Arial"/>
        </w:rPr>
        <w:t>corpo</w:t>
      </w:r>
      <w:r>
        <w:rPr>
          <w:rFonts w:ascii="Arial" w:hAnsi="Arial" w:cs="Arial"/>
        </w:rPr>
        <w:t xml:space="preserve">rate governance lies at the heart of prosperous and </w:t>
      </w:r>
      <w:r w:rsidRPr="00BA3D7A">
        <w:rPr>
          <w:rFonts w:ascii="Arial" w:hAnsi="Arial" w:cs="Arial"/>
        </w:rPr>
        <w:t>successful business</w:t>
      </w:r>
      <w:r w:rsidR="00243337">
        <w:rPr>
          <w:rFonts w:ascii="Arial" w:hAnsi="Arial" w:cs="Arial"/>
        </w:rPr>
        <w:t>es</w:t>
      </w:r>
      <w:r>
        <w:rPr>
          <w:rFonts w:ascii="Arial" w:hAnsi="Arial" w:cs="Arial"/>
        </w:rPr>
        <w:t>. We are working this year to analyse the connection between governance and performance – both in the long and short term. Our early results show some encouraging connections between our</w:t>
      </w:r>
      <w:r w:rsidR="00126EB0">
        <w:rPr>
          <w:rFonts w:ascii="Arial" w:hAnsi="Arial" w:cs="Arial"/>
        </w:rPr>
        <w:t xml:space="preserve"> index scores,</w:t>
      </w:r>
      <w:r>
        <w:rPr>
          <w:rFonts w:ascii="Arial" w:hAnsi="Arial" w:cs="Arial"/>
        </w:rPr>
        <w:t xml:space="preserve"> profitability</w:t>
      </w:r>
      <w:r w:rsidR="00126EB0">
        <w:rPr>
          <w:rFonts w:ascii="Arial" w:hAnsi="Arial" w:cs="Arial"/>
        </w:rPr>
        <w:t xml:space="preserve"> and growth;</w:t>
      </w:r>
      <w:r>
        <w:rPr>
          <w:rFonts w:ascii="Arial" w:hAnsi="Arial" w:cs="Arial"/>
        </w:rPr>
        <w:t xml:space="preserve"> and we want to examine these</w:t>
      </w:r>
      <w:r w:rsidR="00126EB0">
        <w:rPr>
          <w:rFonts w:ascii="Arial" w:hAnsi="Arial" w:cs="Arial"/>
        </w:rPr>
        <w:t xml:space="preserve"> relationships</w:t>
      </w:r>
      <w:r>
        <w:rPr>
          <w:rFonts w:ascii="Arial" w:hAnsi="Arial" w:cs="Arial"/>
        </w:rPr>
        <w:t xml:space="preserve"> further. </w:t>
      </w:r>
    </w:p>
    <w:p w:rsidR="001E2FC3" w:rsidRDefault="002255EB" w:rsidP="002F7F22">
      <w:pPr>
        <w:pStyle w:val="Body"/>
        <w:rPr>
          <w:rFonts w:ascii="Arial" w:hAnsi="Arial" w:cs="Arial"/>
        </w:rPr>
      </w:pPr>
      <w:r>
        <w:rPr>
          <w:rFonts w:ascii="Arial" w:hAnsi="Arial" w:cs="Arial"/>
        </w:rPr>
        <w:t xml:space="preserve">The RGI is able to shine a light on the internal workings of corporate governance </w:t>
      </w:r>
      <w:r w:rsidR="00126EB0">
        <w:rPr>
          <w:rFonts w:ascii="Arial" w:hAnsi="Arial" w:cs="Arial"/>
        </w:rPr>
        <w:t>to</w:t>
      </w:r>
      <w:r>
        <w:rPr>
          <w:rFonts w:ascii="Arial" w:hAnsi="Arial" w:cs="Arial"/>
        </w:rPr>
        <w:t xml:space="preserve"> reveal both good practice and perhaps </w:t>
      </w:r>
      <w:r w:rsidR="002A48A6">
        <w:rPr>
          <w:rFonts w:ascii="Arial" w:hAnsi="Arial" w:cs="Arial"/>
        </w:rPr>
        <w:t xml:space="preserve">some </w:t>
      </w:r>
      <w:r>
        <w:rPr>
          <w:rFonts w:ascii="Arial" w:hAnsi="Arial" w:cs="Arial"/>
        </w:rPr>
        <w:t xml:space="preserve">complacency. The RGI is constructed from public data </w:t>
      </w:r>
      <w:r w:rsidR="00126EB0">
        <w:rPr>
          <w:rFonts w:ascii="Arial" w:hAnsi="Arial" w:cs="Arial"/>
        </w:rPr>
        <w:t xml:space="preserve">and its </w:t>
      </w:r>
      <w:r w:rsidR="002F7F22" w:rsidRPr="00BA3D7A">
        <w:rPr>
          <w:rFonts w:ascii="Arial" w:hAnsi="Arial" w:cs="Arial"/>
        </w:rPr>
        <w:t>independence provide</w:t>
      </w:r>
      <w:r w:rsidR="00126EB0">
        <w:rPr>
          <w:rFonts w:ascii="Arial" w:hAnsi="Arial" w:cs="Arial"/>
        </w:rPr>
        <w:t>s</w:t>
      </w:r>
      <w:r w:rsidR="002F7F22" w:rsidRPr="00BA3D7A">
        <w:rPr>
          <w:rFonts w:ascii="Arial" w:hAnsi="Arial" w:cs="Arial"/>
        </w:rPr>
        <w:t xml:space="preserve"> a </w:t>
      </w:r>
      <w:r w:rsidR="00126EB0">
        <w:rPr>
          <w:rFonts w:ascii="Arial" w:hAnsi="Arial" w:cs="Arial"/>
        </w:rPr>
        <w:t xml:space="preserve">reliable </w:t>
      </w:r>
      <w:r w:rsidR="002F7F22" w:rsidRPr="00BA3D7A">
        <w:rPr>
          <w:rFonts w:ascii="Arial" w:hAnsi="Arial" w:cs="Arial"/>
        </w:rPr>
        <w:t xml:space="preserve">reference point for investors, shareholders and other stakeholders as well as </w:t>
      </w:r>
      <w:r w:rsidR="00864AB5" w:rsidRPr="00BA3D7A">
        <w:rPr>
          <w:rFonts w:ascii="Arial" w:hAnsi="Arial" w:cs="Arial"/>
        </w:rPr>
        <w:t>providing information</w:t>
      </w:r>
      <w:r w:rsidR="00243337">
        <w:rPr>
          <w:rFonts w:ascii="Arial" w:hAnsi="Arial" w:cs="Arial"/>
        </w:rPr>
        <w:t xml:space="preserve"> for senior management of UK and Overseas companies.</w:t>
      </w:r>
    </w:p>
    <w:p w:rsidR="002A48A6" w:rsidRPr="00BA3D7A" w:rsidRDefault="002A48A6" w:rsidP="002F7F22">
      <w:pPr>
        <w:pStyle w:val="Body"/>
        <w:rPr>
          <w:rFonts w:ascii="Arial" w:hAnsi="Arial" w:cs="Arial"/>
        </w:rPr>
      </w:pPr>
      <w:r>
        <w:rPr>
          <w:rFonts w:ascii="Arial" w:hAnsi="Arial" w:cs="Arial"/>
        </w:rPr>
        <w:t>We welcome your comments and interest.</w:t>
      </w:r>
    </w:p>
    <w:p w:rsidR="001E2FC3" w:rsidRPr="007A04A8" w:rsidRDefault="00700AB9" w:rsidP="00A40F10">
      <w:pPr>
        <w:pStyle w:val="Head1"/>
        <w:rPr>
          <w:rFonts w:ascii="Arial" w:hAnsi="Arial" w:cs="Arial"/>
          <w:b/>
        </w:rPr>
      </w:pPr>
      <w:bookmarkStart w:id="2" w:name="_Toc273454135"/>
      <w:r w:rsidRPr="007A04A8">
        <w:rPr>
          <w:rFonts w:ascii="Arial" w:hAnsi="Arial" w:cs="Arial"/>
          <w:b/>
        </w:rPr>
        <w:lastRenderedPageBreak/>
        <w:t xml:space="preserve">2 </w:t>
      </w:r>
      <w:r w:rsidR="00F63D46" w:rsidRPr="007A04A8">
        <w:rPr>
          <w:rFonts w:ascii="Arial" w:hAnsi="Arial" w:cs="Arial"/>
          <w:b/>
        </w:rPr>
        <w:t xml:space="preserve"> Key</w:t>
      </w:r>
      <w:r w:rsidRPr="007A04A8">
        <w:rPr>
          <w:rFonts w:ascii="Arial" w:hAnsi="Arial" w:cs="Arial"/>
          <w:b/>
        </w:rPr>
        <w:t xml:space="preserve"> </w:t>
      </w:r>
      <w:r w:rsidR="001E2FC3" w:rsidRPr="007A04A8">
        <w:rPr>
          <w:rFonts w:ascii="Arial" w:hAnsi="Arial" w:cs="Arial"/>
          <w:b/>
        </w:rPr>
        <w:t>Findings</w:t>
      </w:r>
      <w:bookmarkEnd w:id="2"/>
      <w:r w:rsidR="001E2FC3" w:rsidRPr="007A04A8">
        <w:rPr>
          <w:rFonts w:ascii="Arial" w:hAnsi="Arial" w:cs="Arial"/>
          <w:b/>
        </w:rPr>
        <w:t xml:space="preserve"> </w:t>
      </w:r>
    </w:p>
    <w:p w:rsidR="001E2FC3" w:rsidRPr="00BA3D7A" w:rsidRDefault="00132ECB" w:rsidP="00496ECB">
      <w:pPr>
        <w:pStyle w:val="Numbered"/>
        <w:jc w:val="both"/>
        <w:rPr>
          <w:rFonts w:ascii="Arial" w:hAnsi="Arial" w:cs="Arial"/>
        </w:rPr>
      </w:pPr>
      <w:r>
        <w:rPr>
          <w:rFonts w:ascii="Arial" w:hAnsi="Arial" w:cs="Arial"/>
        </w:rPr>
        <w:t xml:space="preserve">2010 – 2011 proved a financially rewarding year for much of the FTSE 100, </w:t>
      </w:r>
      <w:r w:rsidRPr="00132ECB">
        <w:rPr>
          <w:rFonts w:ascii="Arial" w:hAnsi="Arial" w:cs="Arial"/>
          <w:lang w:val="en-US"/>
        </w:rPr>
        <w:t>with 78% of the companies reporting an increase in total revenue and 81% of companies reporting an increase in profit.</w:t>
      </w:r>
      <w:r>
        <w:rPr>
          <w:rFonts w:ascii="Arial" w:hAnsi="Arial" w:cs="Arial"/>
          <w:lang w:val="en-US"/>
        </w:rPr>
        <w:t xml:space="preserve"> More often than not </w:t>
      </w:r>
      <w:r w:rsidRPr="00132ECB">
        <w:rPr>
          <w:rFonts w:ascii="Arial" w:hAnsi="Arial" w:cs="Arial"/>
          <w:lang w:val="en-US"/>
        </w:rPr>
        <w:t xml:space="preserve">companies increased profits by increasing sales and revenues, not cutting costs by reducing staff size. </w:t>
      </w:r>
      <w:r>
        <w:rPr>
          <w:rFonts w:ascii="Arial" w:hAnsi="Arial" w:cs="Arial"/>
          <w:lang w:val="en-US"/>
        </w:rPr>
        <w:t>More</w:t>
      </w:r>
      <w:r w:rsidRPr="00132ECB">
        <w:rPr>
          <w:rFonts w:ascii="Arial" w:hAnsi="Arial" w:cs="Arial"/>
          <w:lang w:val="en-US"/>
        </w:rPr>
        <w:t xml:space="preserve"> </w:t>
      </w:r>
      <w:r>
        <w:rPr>
          <w:rFonts w:ascii="Arial" w:hAnsi="Arial" w:cs="Arial"/>
          <w:lang w:val="en-US"/>
        </w:rPr>
        <w:t xml:space="preserve">than half the FTSE 100 recruited additional employees and senior staff salaries rose significantly. But if there were more resources </w:t>
      </w:r>
      <w:r w:rsidR="00AC115E">
        <w:rPr>
          <w:rFonts w:ascii="Arial" w:hAnsi="Arial" w:cs="Arial"/>
          <w:lang w:val="en-US"/>
        </w:rPr>
        <w:t xml:space="preserve">generally </w:t>
      </w:r>
      <w:r>
        <w:rPr>
          <w:rFonts w:ascii="Arial" w:hAnsi="Arial" w:cs="Arial"/>
          <w:lang w:val="en-US"/>
        </w:rPr>
        <w:t xml:space="preserve">available it is not apparent that </w:t>
      </w:r>
      <w:r w:rsidR="00AC115E">
        <w:rPr>
          <w:rFonts w:ascii="Arial" w:hAnsi="Arial" w:cs="Arial"/>
          <w:lang w:val="en-US"/>
        </w:rPr>
        <w:t xml:space="preserve">many </w:t>
      </w:r>
      <w:r>
        <w:rPr>
          <w:rFonts w:ascii="Arial" w:hAnsi="Arial" w:cs="Arial"/>
          <w:lang w:val="en-US"/>
        </w:rPr>
        <w:t xml:space="preserve">found their way into </w:t>
      </w:r>
      <w:r w:rsidR="00AC115E">
        <w:rPr>
          <w:rFonts w:ascii="Arial" w:hAnsi="Arial" w:cs="Arial"/>
          <w:lang w:val="en-US"/>
        </w:rPr>
        <w:t>a greater ‘commitment’ to ‘good’ corporate governance.</w:t>
      </w:r>
      <w:r w:rsidR="00DE26D2">
        <w:rPr>
          <w:rFonts w:ascii="Arial" w:hAnsi="Arial" w:cs="Arial"/>
          <w:lang w:val="en-US"/>
        </w:rPr>
        <w:t xml:space="preserve"> Both capacity and commitment scores were down in 2010 </w:t>
      </w:r>
      <w:r w:rsidR="002A73A8">
        <w:rPr>
          <w:rFonts w:ascii="Arial" w:hAnsi="Arial" w:cs="Arial"/>
          <w:lang w:val="en-US"/>
        </w:rPr>
        <w:t>–</w:t>
      </w:r>
      <w:r w:rsidR="00DE26D2">
        <w:rPr>
          <w:rFonts w:ascii="Arial" w:hAnsi="Arial" w:cs="Arial"/>
          <w:lang w:val="en-US"/>
        </w:rPr>
        <w:t xml:space="preserve"> </w:t>
      </w:r>
      <w:r w:rsidR="002A73A8">
        <w:rPr>
          <w:rFonts w:ascii="Arial" w:hAnsi="Arial" w:cs="Arial"/>
          <w:lang w:val="en-US"/>
        </w:rPr>
        <w:t>11 bringing down the average and highest RGI results.</w:t>
      </w:r>
    </w:p>
    <w:p w:rsidR="001E2FC3" w:rsidRPr="00AC115E" w:rsidRDefault="00AC115E" w:rsidP="00AC115E">
      <w:pPr>
        <w:pStyle w:val="Numbered"/>
        <w:jc w:val="both"/>
        <w:rPr>
          <w:rFonts w:ascii="Arial" w:hAnsi="Arial" w:cs="Arial"/>
          <w:lang w:val="en-US"/>
        </w:rPr>
      </w:pPr>
      <w:r w:rsidRPr="00AC115E">
        <w:rPr>
          <w:rFonts w:ascii="Arial" w:hAnsi="Arial" w:cs="Arial"/>
        </w:rPr>
        <w:t>Basic compliance scores were sound</w:t>
      </w:r>
      <w:r w:rsidR="00DE26D2">
        <w:rPr>
          <w:rFonts w:ascii="Arial" w:hAnsi="Arial" w:cs="Arial"/>
        </w:rPr>
        <w:t>,</w:t>
      </w:r>
      <w:r w:rsidRPr="00AC115E">
        <w:rPr>
          <w:rFonts w:ascii="Arial" w:hAnsi="Arial" w:cs="Arial"/>
        </w:rPr>
        <w:t xml:space="preserve"> particularly in the top half of the RGI</w:t>
      </w:r>
      <w:r w:rsidR="001E2FC3" w:rsidRPr="00AC115E">
        <w:rPr>
          <w:rFonts w:ascii="Arial" w:hAnsi="Arial" w:cs="Arial"/>
        </w:rPr>
        <w:t>.</w:t>
      </w:r>
      <w:r w:rsidRPr="00AC115E">
        <w:rPr>
          <w:rFonts w:ascii="Calibri" w:hAnsi="Calibri" w:cs="Times New Roman"/>
          <w:sz w:val="24"/>
          <w:szCs w:val="24"/>
        </w:rPr>
        <w:t xml:space="preserve"> </w:t>
      </w:r>
      <w:r w:rsidRPr="00AC115E">
        <w:rPr>
          <w:rFonts w:ascii="Arial" w:hAnsi="Arial" w:cs="Arial"/>
          <w:lang w:val="en-US"/>
        </w:rPr>
        <w:t xml:space="preserve">This suggests that larger companies have </w:t>
      </w:r>
      <w:r>
        <w:rPr>
          <w:rFonts w:ascii="Arial" w:hAnsi="Arial" w:cs="Arial"/>
          <w:lang w:val="en-US"/>
        </w:rPr>
        <w:t>had sufficient</w:t>
      </w:r>
      <w:r w:rsidRPr="00AC115E">
        <w:rPr>
          <w:rFonts w:ascii="Arial" w:hAnsi="Arial" w:cs="Arial"/>
          <w:lang w:val="en-US"/>
        </w:rPr>
        <w:t xml:space="preserve"> time to implement the additional measures required by the new UK Corporate Governance Code</w:t>
      </w:r>
      <w:r>
        <w:rPr>
          <w:rFonts w:ascii="Arial" w:hAnsi="Arial" w:cs="Arial"/>
          <w:lang w:val="en-US"/>
        </w:rPr>
        <w:t xml:space="preserve"> introduced in June 2010. It is likely that the combination of the Walker Report on financial services governance in 2009 and the resultant Financial Reporting Council changes in </w:t>
      </w:r>
      <w:r w:rsidR="00DE26D2">
        <w:rPr>
          <w:rFonts w:ascii="Arial" w:hAnsi="Arial" w:cs="Arial"/>
          <w:lang w:val="en-US"/>
        </w:rPr>
        <w:t>2010</w:t>
      </w:r>
      <w:r>
        <w:rPr>
          <w:rFonts w:ascii="Arial" w:hAnsi="Arial" w:cs="Arial"/>
          <w:lang w:val="en-US"/>
        </w:rPr>
        <w:t xml:space="preserve"> have brought new focus to the compliance area.</w:t>
      </w:r>
    </w:p>
    <w:p w:rsidR="00C53CF0" w:rsidRDefault="00774AEA" w:rsidP="00496ECB">
      <w:pPr>
        <w:pStyle w:val="Numbered"/>
        <w:jc w:val="both"/>
        <w:rPr>
          <w:rFonts w:ascii="Arial" w:hAnsi="Arial" w:cs="Arial"/>
        </w:rPr>
      </w:pPr>
      <w:r w:rsidRPr="00C53CF0">
        <w:rPr>
          <w:rFonts w:ascii="Arial" w:hAnsi="Arial" w:cs="Arial"/>
        </w:rPr>
        <w:t>T</w:t>
      </w:r>
      <w:r w:rsidR="001E2FC3" w:rsidRPr="00C53CF0">
        <w:rPr>
          <w:rFonts w:ascii="Arial" w:hAnsi="Arial" w:cs="Arial"/>
        </w:rPr>
        <w:t xml:space="preserve">he </w:t>
      </w:r>
      <w:r w:rsidR="00DE26D2" w:rsidRPr="00C53CF0">
        <w:rPr>
          <w:rFonts w:ascii="Arial" w:hAnsi="Arial" w:cs="Arial"/>
        </w:rPr>
        <w:t>improved</w:t>
      </w:r>
      <w:r w:rsidR="001E2FC3" w:rsidRPr="00C53CF0">
        <w:rPr>
          <w:rFonts w:ascii="Arial" w:hAnsi="Arial" w:cs="Arial"/>
        </w:rPr>
        <w:t xml:space="preserve"> performance in the compliance category is not matched by </w:t>
      </w:r>
      <w:r w:rsidRPr="00C53CF0">
        <w:rPr>
          <w:rFonts w:ascii="Arial" w:hAnsi="Arial" w:cs="Arial"/>
        </w:rPr>
        <w:t>similar</w:t>
      </w:r>
      <w:r w:rsidR="001E2FC3" w:rsidRPr="00C53CF0">
        <w:rPr>
          <w:rFonts w:ascii="Arial" w:hAnsi="Arial" w:cs="Arial"/>
        </w:rPr>
        <w:t xml:space="preserve"> success in the areas we label </w:t>
      </w:r>
      <w:r w:rsidR="00DE26D2" w:rsidRPr="00C53CF0">
        <w:rPr>
          <w:rFonts w:ascii="Arial" w:hAnsi="Arial" w:cs="Arial"/>
        </w:rPr>
        <w:t xml:space="preserve">capacity and </w:t>
      </w:r>
      <w:r w:rsidR="001E2FC3" w:rsidRPr="00C53CF0">
        <w:rPr>
          <w:rFonts w:ascii="Arial" w:hAnsi="Arial" w:cs="Arial"/>
        </w:rPr>
        <w:t>commitment</w:t>
      </w:r>
      <w:r w:rsidR="00DE26D2" w:rsidRPr="00C53CF0">
        <w:rPr>
          <w:rFonts w:ascii="Arial" w:hAnsi="Arial" w:cs="Arial"/>
        </w:rPr>
        <w:t>. These include evaluation of the internal organisation of governance, culture and ‘</w:t>
      </w:r>
      <w:r w:rsidR="001E2FC3" w:rsidRPr="00C53CF0">
        <w:rPr>
          <w:rFonts w:ascii="Arial" w:hAnsi="Arial" w:cs="Arial"/>
        </w:rPr>
        <w:t>going the extra mile</w:t>
      </w:r>
      <w:r w:rsidR="00DE26D2" w:rsidRPr="00C53CF0">
        <w:rPr>
          <w:rFonts w:ascii="Arial" w:hAnsi="Arial" w:cs="Arial"/>
        </w:rPr>
        <w:t>’</w:t>
      </w:r>
      <w:r w:rsidR="001E2FC3" w:rsidRPr="00C53CF0">
        <w:rPr>
          <w:rFonts w:ascii="Arial" w:hAnsi="Arial" w:cs="Arial"/>
        </w:rPr>
        <w:t xml:space="preserve"> for communities, </w:t>
      </w:r>
      <w:r w:rsidR="00DE26D2" w:rsidRPr="00C53CF0">
        <w:rPr>
          <w:rFonts w:ascii="Arial" w:hAnsi="Arial" w:cs="Arial"/>
        </w:rPr>
        <w:t xml:space="preserve">employees, </w:t>
      </w:r>
      <w:r w:rsidR="001E2FC3" w:rsidRPr="00C53CF0">
        <w:rPr>
          <w:rFonts w:ascii="Arial" w:hAnsi="Arial" w:cs="Arial"/>
        </w:rPr>
        <w:t>the environment and broader social responsibility.</w:t>
      </w:r>
      <w:r w:rsidR="00DE26D2" w:rsidRPr="00C53CF0">
        <w:rPr>
          <w:rFonts w:ascii="Arial" w:hAnsi="Arial" w:cs="Arial"/>
        </w:rPr>
        <w:t xml:space="preserve"> This is a trend we noted in 2010 and one that seems to have gathered pace. </w:t>
      </w:r>
    </w:p>
    <w:p w:rsidR="009C4363" w:rsidRDefault="00DE26D2" w:rsidP="00496ECB">
      <w:pPr>
        <w:pStyle w:val="Numbered"/>
        <w:jc w:val="both"/>
        <w:rPr>
          <w:rFonts w:ascii="Arial" w:hAnsi="Arial" w:cs="Arial"/>
        </w:rPr>
      </w:pPr>
      <w:r w:rsidRPr="00C53CF0">
        <w:rPr>
          <w:rFonts w:ascii="Arial" w:hAnsi="Arial" w:cs="Arial"/>
        </w:rPr>
        <w:t xml:space="preserve">We measure a selection of social, community and environmental measures </w:t>
      </w:r>
      <w:r w:rsidR="00D23E90">
        <w:rPr>
          <w:rFonts w:ascii="Arial" w:hAnsi="Arial" w:cs="Arial"/>
        </w:rPr>
        <w:t>but</w:t>
      </w:r>
      <w:r w:rsidRPr="00C53CF0">
        <w:rPr>
          <w:rFonts w:ascii="Arial" w:hAnsi="Arial" w:cs="Arial"/>
        </w:rPr>
        <w:t xml:space="preserve"> by no means all possible factors. Undoubtedly</w:t>
      </w:r>
      <w:r w:rsidR="00F40961" w:rsidRPr="00C53CF0">
        <w:rPr>
          <w:rFonts w:ascii="Arial" w:hAnsi="Arial" w:cs="Arial"/>
        </w:rPr>
        <w:t>,</w:t>
      </w:r>
      <w:r w:rsidRPr="00C53CF0">
        <w:rPr>
          <w:rFonts w:ascii="Arial" w:hAnsi="Arial" w:cs="Arial"/>
        </w:rPr>
        <w:t xml:space="preserve"> there are some shining lights </w:t>
      </w:r>
      <w:r w:rsidR="00F40961" w:rsidRPr="00C53CF0">
        <w:rPr>
          <w:rFonts w:ascii="Arial" w:hAnsi="Arial" w:cs="Arial"/>
        </w:rPr>
        <w:t>at the top of our RGI and straightforward charitable donations were up overall in 37% of cases. However, approximately the same percentage decreased charitable giving and</w:t>
      </w:r>
      <w:r w:rsidRPr="00C53CF0">
        <w:rPr>
          <w:rFonts w:ascii="Arial" w:hAnsi="Arial" w:cs="Arial"/>
        </w:rPr>
        <w:t xml:space="preserve"> </w:t>
      </w:r>
      <w:r w:rsidR="00F40961" w:rsidRPr="00C53CF0">
        <w:rPr>
          <w:rFonts w:ascii="Arial" w:hAnsi="Arial" w:cs="Arial"/>
        </w:rPr>
        <w:t xml:space="preserve">if we interpret governance to include an external responsibility and citizenship, many obviously see this as a luxury they possibly could, but do not want, to afford. Maybe it is precisely because internal culture and community engagement are so hard to measure and relate to bottom line performance that these areas are neglected. </w:t>
      </w:r>
    </w:p>
    <w:p w:rsidR="001E2FC3" w:rsidRDefault="00F40961" w:rsidP="00496ECB">
      <w:pPr>
        <w:pStyle w:val="Numbered"/>
        <w:jc w:val="both"/>
        <w:rPr>
          <w:rFonts w:ascii="Arial" w:hAnsi="Arial" w:cs="Arial"/>
        </w:rPr>
      </w:pPr>
      <w:r w:rsidRPr="00C53CF0">
        <w:rPr>
          <w:rFonts w:ascii="Arial" w:hAnsi="Arial" w:cs="Arial"/>
        </w:rPr>
        <w:t>We are undertaking specific analysis to examine the nature and strength of the correlation between various aspects of governance and measures of bottom line performance. Initial work suggests moderate correlation with longer-term performance, but short term results are harder to interpret.</w:t>
      </w:r>
    </w:p>
    <w:p w:rsidR="00A1194A" w:rsidRPr="00C53CF0" w:rsidRDefault="00A1194A" w:rsidP="00A1194A">
      <w:pPr>
        <w:pStyle w:val="Numbered"/>
        <w:numPr>
          <w:ilvl w:val="0"/>
          <w:numId w:val="0"/>
        </w:numPr>
        <w:ind w:left="540" w:hanging="540"/>
        <w:jc w:val="both"/>
        <w:rPr>
          <w:rFonts w:ascii="Arial" w:hAnsi="Arial" w:cs="Arial"/>
        </w:rPr>
      </w:pPr>
    </w:p>
    <w:p w:rsidR="00737AE8" w:rsidRPr="00737AE8" w:rsidRDefault="00737AE8" w:rsidP="00737AE8">
      <w:pPr>
        <w:pStyle w:val="Numbered"/>
        <w:jc w:val="both"/>
        <w:rPr>
          <w:rFonts w:ascii="Arial" w:hAnsi="Arial" w:cs="Arial"/>
          <w:lang w:val="en-US"/>
        </w:rPr>
      </w:pPr>
      <w:r w:rsidRPr="00737AE8">
        <w:rPr>
          <w:rFonts w:ascii="Arial" w:hAnsi="Arial" w:cs="Arial"/>
        </w:rPr>
        <w:lastRenderedPageBreak/>
        <w:t>Although it is always unwise to draw too great</w:t>
      </w:r>
      <w:r w:rsidR="00441BFF">
        <w:rPr>
          <w:rFonts w:ascii="Arial" w:hAnsi="Arial" w:cs="Arial"/>
        </w:rPr>
        <w:t xml:space="preserve"> an</w:t>
      </w:r>
      <w:r w:rsidRPr="00737AE8">
        <w:rPr>
          <w:rFonts w:ascii="Arial" w:hAnsi="Arial" w:cs="Arial"/>
        </w:rPr>
        <w:t xml:space="preserve"> inference from one compo</w:t>
      </w:r>
      <w:r>
        <w:rPr>
          <w:rFonts w:ascii="Arial" w:hAnsi="Arial" w:cs="Arial"/>
        </w:rPr>
        <w:t>nent of any index, we note that th</w:t>
      </w:r>
      <w:r w:rsidRPr="00737AE8">
        <w:rPr>
          <w:rFonts w:ascii="Arial" w:hAnsi="Arial" w:cs="Arial"/>
          <w:lang w:val="en-US"/>
        </w:rPr>
        <w:t xml:space="preserve">e number of companies that </w:t>
      </w:r>
      <w:r>
        <w:rPr>
          <w:rFonts w:ascii="Arial" w:hAnsi="Arial" w:cs="Arial"/>
          <w:lang w:val="en-US"/>
        </w:rPr>
        <w:t>have</w:t>
      </w:r>
      <w:r w:rsidRPr="00737AE8">
        <w:rPr>
          <w:rFonts w:ascii="Arial" w:hAnsi="Arial" w:cs="Arial"/>
          <w:lang w:val="en-US"/>
        </w:rPr>
        <w:t xml:space="preserve"> </w:t>
      </w:r>
      <w:r>
        <w:rPr>
          <w:rFonts w:ascii="Arial" w:hAnsi="Arial" w:cs="Arial"/>
          <w:lang w:val="en-US"/>
        </w:rPr>
        <w:t>a</w:t>
      </w:r>
      <w:r w:rsidRPr="00737AE8">
        <w:rPr>
          <w:rFonts w:ascii="Arial" w:hAnsi="Arial" w:cs="Arial"/>
          <w:lang w:val="en-US"/>
        </w:rPr>
        <w:t xml:space="preserve"> Code of Ethics, Code of Conduct and </w:t>
      </w:r>
      <w:r>
        <w:rPr>
          <w:rFonts w:ascii="Arial" w:hAnsi="Arial" w:cs="Arial"/>
          <w:lang w:val="en-US"/>
        </w:rPr>
        <w:t xml:space="preserve">made a </w:t>
      </w:r>
      <w:r w:rsidRPr="00737AE8">
        <w:rPr>
          <w:rFonts w:ascii="Arial" w:hAnsi="Arial" w:cs="Arial"/>
          <w:lang w:val="en-US"/>
        </w:rPr>
        <w:t>Human Rights Declar</w:t>
      </w:r>
      <w:r>
        <w:rPr>
          <w:rFonts w:ascii="Arial" w:hAnsi="Arial" w:cs="Arial"/>
          <w:lang w:val="en-US"/>
        </w:rPr>
        <w:t>ation increased from 15 to 22. C</w:t>
      </w:r>
      <w:r w:rsidRPr="00737AE8">
        <w:rPr>
          <w:rFonts w:ascii="Arial" w:hAnsi="Arial" w:cs="Arial"/>
          <w:lang w:val="en-US"/>
        </w:rPr>
        <w:t>ompanies having two of the</w:t>
      </w:r>
      <w:r>
        <w:rPr>
          <w:rFonts w:ascii="Arial" w:hAnsi="Arial" w:cs="Arial"/>
          <w:lang w:val="en-US"/>
        </w:rPr>
        <w:t>se</w:t>
      </w:r>
      <w:r w:rsidRPr="00737AE8">
        <w:rPr>
          <w:rFonts w:ascii="Arial" w:hAnsi="Arial" w:cs="Arial"/>
          <w:lang w:val="en-US"/>
        </w:rPr>
        <w:t xml:space="preserve"> three increase</w:t>
      </w:r>
      <w:r>
        <w:rPr>
          <w:rFonts w:ascii="Arial" w:hAnsi="Arial" w:cs="Arial"/>
          <w:lang w:val="en-US"/>
        </w:rPr>
        <w:t>d from 18 to 28. C</w:t>
      </w:r>
      <w:r w:rsidRPr="00737AE8">
        <w:rPr>
          <w:rFonts w:ascii="Arial" w:hAnsi="Arial" w:cs="Arial"/>
          <w:lang w:val="en-US"/>
        </w:rPr>
        <w:t xml:space="preserve">ompanies having none of the </w:t>
      </w:r>
      <w:r>
        <w:rPr>
          <w:rFonts w:ascii="Arial" w:hAnsi="Arial" w:cs="Arial"/>
          <w:lang w:val="en-US"/>
        </w:rPr>
        <w:t>above</w:t>
      </w:r>
      <w:r w:rsidRPr="00737AE8">
        <w:rPr>
          <w:rFonts w:ascii="Arial" w:hAnsi="Arial" w:cs="Arial"/>
          <w:lang w:val="en-US"/>
        </w:rPr>
        <w:t xml:space="preserve"> decreased from 27 to 18.  </w:t>
      </w:r>
      <w:r>
        <w:rPr>
          <w:rFonts w:ascii="Arial" w:hAnsi="Arial" w:cs="Arial"/>
          <w:lang w:val="en-US"/>
        </w:rPr>
        <w:t>We are the first to recognise that signing a declaration or having a code does not ensure ethical culture but it is suggested that this may indicate</w:t>
      </w:r>
      <w:r w:rsidRPr="00737AE8">
        <w:rPr>
          <w:rFonts w:ascii="Arial" w:hAnsi="Arial" w:cs="Arial"/>
          <w:lang w:val="en-US"/>
        </w:rPr>
        <w:t xml:space="preserve"> a growing interest in companies creating and implementing their own internal</w:t>
      </w:r>
      <w:r>
        <w:rPr>
          <w:rFonts w:ascii="Arial" w:hAnsi="Arial" w:cs="Arial"/>
          <w:lang w:val="en-US"/>
        </w:rPr>
        <w:t xml:space="preserve"> systems, initiatives and</w:t>
      </w:r>
      <w:r w:rsidRPr="00737AE8">
        <w:rPr>
          <w:rFonts w:ascii="Arial" w:hAnsi="Arial" w:cs="Arial"/>
          <w:lang w:val="en-US"/>
        </w:rPr>
        <w:t xml:space="preserve"> controls on these issues. </w:t>
      </w:r>
    </w:p>
    <w:p w:rsidR="00F8323B" w:rsidRDefault="002A73A8" w:rsidP="00496ECB">
      <w:pPr>
        <w:pStyle w:val="Numbered"/>
        <w:jc w:val="both"/>
        <w:rPr>
          <w:rFonts w:ascii="Arial" w:hAnsi="Arial" w:cs="Arial"/>
        </w:rPr>
      </w:pPr>
      <w:r w:rsidRPr="00D26637">
        <w:rPr>
          <w:rFonts w:ascii="Arial" w:hAnsi="Arial" w:cs="Arial"/>
        </w:rPr>
        <w:t>There are some notable risers and fallers this year, as is to be expected i</w:t>
      </w:r>
      <w:r w:rsidR="00816DA1">
        <w:rPr>
          <w:rFonts w:ascii="Arial" w:hAnsi="Arial" w:cs="Arial"/>
        </w:rPr>
        <w:t xml:space="preserve">n any index; but there are </w:t>
      </w:r>
      <w:r w:rsidRPr="00D26637">
        <w:rPr>
          <w:rFonts w:ascii="Arial" w:hAnsi="Arial" w:cs="Arial"/>
        </w:rPr>
        <w:t>many more signs of consistency and stability in individual company and sectoral results</w:t>
      </w:r>
      <w:r w:rsidR="00816DA1">
        <w:rPr>
          <w:rFonts w:ascii="Arial" w:hAnsi="Arial" w:cs="Arial"/>
        </w:rPr>
        <w:t>,</w:t>
      </w:r>
      <w:r w:rsidRPr="00D26637">
        <w:rPr>
          <w:rFonts w:ascii="Arial" w:hAnsi="Arial" w:cs="Arial"/>
        </w:rPr>
        <w:t xml:space="preserve"> allowing broad patterns to be identified. 7 of the 2011 top 10 were in the top 10 in 2010 and it is possible to see a ‘premiership’ of regular high performers </w:t>
      </w:r>
      <w:r w:rsidR="00816DA1">
        <w:rPr>
          <w:rFonts w:ascii="Arial" w:hAnsi="Arial" w:cs="Arial"/>
        </w:rPr>
        <w:t xml:space="preserve">emerging. </w:t>
      </w:r>
      <w:r w:rsidR="0080106E" w:rsidRPr="00D26637">
        <w:rPr>
          <w:rFonts w:ascii="Arial" w:hAnsi="Arial" w:cs="Arial"/>
        </w:rPr>
        <w:t>Glaxo</w:t>
      </w:r>
      <w:r w:rsidR="00843971" w:rsidRPr="00D26637">
        <w:rPr>
          <w:rFonts w:ascii="Arial" w:hAnsi="Arial" w:cs="Arial"/>
        </w:rPr>
        <w:t>S</w:t>
      </w:r>
      <w:r w:rsidR="0080106E" w:rsidRPr="00D26637">
        <w:rPr>
          <w:rFonts w:ascii="Arial" w:hAnsi="Arial" w:cs="Arial"/>
        </w:rPr>
        <w:t>mith</w:t>
      </w:r>
      <w:r w:rsidR="00D678EF" w:rsidRPr="00D26637">
        <w:rPr>
          <w:rFonts w:ascii="Arial" w:hAnsi="Arial" w:cs="Arial"/>
        </w:rPr>
        <w:t xml:space="preserve">Kline </w:t>
      </w:r>
      <w:r w:rsidR="00D26637">
        <w:rPr>
          <w:rFonts w:ascii="Arial" w:hAnsi="Arial" w:cs="Arial"/>
        </w:rPr>
        <w:t xml:space="preserve">remains on top spot and HSBC and Billiton </w:t>
      </w:r>
      <w:r w:rsidR="00816DA1">
        <w:rPr>
          <w:rFonts w:ascii="Arial" w:hAnsi="Arial" w:cs="Arial"/>
        </w:rPr>
        <w:t>seem to be</w:t>
      </w:r>
      <w:r w:rsidR="00D26637">
        <w:rPr>
          <w:rFonts w:ascii="Arial" w:hAnsi="Arial" w:cs="Arial"/>
        </w:rPr>
        <w:t xml:space="preserve"> regular fixtures in the top 4.</w:t>
      </w:r>
      <w:r w:rsidR="001E2FC3" w:rsidRPr="00D26637">
        <w:rPr>
          <w:rFonts w:ascii="Arial" w:hAnsi="Arial" w:cs="Arial"/>
        </w:rPr>
        <w:t xml:space="preserve"> </w:t>
      </w:r>
      <w:r w:rsidR="00F8323B">
        <w:rPr>
          <w:rFonts w:ascii="Arial" w:hAnsi="Arial" w:cs="Arial"/>
        </w:rPr>
        <w:t>The following have appeared in the top 15 in each of the 3 years of our survey</w:t>
      </w:r>
      <w:r w:rsidR="00441BFF">
        <w:rPr>
          <w:rFonts w:ascii="Arial" w:hAnsi="Arial" w:cs="Arial"/>
        </w:rPr>
        <w:t>:</w:t>
      </w:r>
    </w:p>
    <w:p w:rsidR="00441BFF" w:rsidRPr="000E2CCC" w:rsidRDefault="00F8323B" w:rsidP="00AC70F4">
      <w:pPr>
        <w:pStyle w:val="Bullet1"/>
        <w:numPr>
          <w:ilvl w:val="0"/>
          <w:numId w:val="8"/>
        </w:numPr>
        <w:spacing w:after="0" w:line="240" w:lineRule="auto"/>
        <w:rPr>
          <w:rFonts w:ascii="Arial" w:hAnsi="Arial" w:cs="Arial"/>
        </w:rPr>
      </w:pPr>
      <w:r w:rsidRPr="000E2CCC">
        <w:rPr>
          <w:rFonts w:ascii="Arial" w:hAnsi="Arial" w:cs="Arial"/>
          <w:lang w:eastAsia="en-GB"/>
        </w:rPr>
        <w:t>GlaxoSmithKline</w:t>
      </w:r>
    </w:p>
    <w:p w:rsidR="0050728E" w:rsidRPr="000E2CCC" w:rsidRDefault="0050728E" w:rsidP="0050728E">
      <w:pPr>
        <w:pStyle w:val="Bullet1"/>
        <w:numPr>
          <w:ilvl w:val="0"/>
          <w:numId w:val="0"/>
        </w:numPr>
        <w:spacing w:after="0" w:line="240" w:lineRule="auto"/>
        <w:ind w:left="2160"/>
        <w:rPr>
          <w:rFonts w:ascii="Arial" w:hAnsi="Arial" w:cs="Arial"/>
        </w:rPr>
      </w:pPr>
    </w:p>
    <w:p w:rsidR="00441BFF" w:rsidRPr="000E2CCC" w:rsidRDefault="00F8323B" w:rsidP="00AC70F4">
      <w:pPr>
        <w:pStyle w:val="Bullet1"/>
        <w:numPr>
          <w:ilvl w:val="0"/>
          <w:numId w:val="8"/>
        </w:numPr>
        <w:spacing w:after="0" w:line="240" w:lineRule="auto"/>
        <w:rPr>
          <w:rFonts w:ascii="Arial" w:hAnsi="Arial" w:cs="Arial"/>
        </w:rPr>
      </w:pPr>
      <w:r w:rsidRPr="000E2CCC">
        <w:rPr>
          <w:rFonts w:ascii="Arial" w:hAnsi="Arial" w:cs="Arial"/>
          <w:lang w:eastAsia="en-GB"/>
        </w:rPr>
        <w:t>BHP Billiton</w:t>
      </w:r>
    </w:p>
    <w:p w:rsidR="0050728E" w:rsidRPr="000E2CCC" w:rsidRDefault="0050728E" w:rsidP="0050728E">
      <w:pPr>
        <w:pStyle w:val="Bullet1"/>
        <w:numPr>
          <w:ilvl w:val="0"/>
          <w:numId w:val="0"/>
        </w:numPr>
        <w:spacing w:after="0" w:line="240" w:lineRule="auto"/>
        <w:ind w:left="2160"/>
        <w:rPr>
          <w:rFonts w:ascii="Arial" w:hAnsi="Arial" w:cs="Arial"/>
        </w:rPr>
      </w:pPr>
    </w:p>
    <w:p w:rsidR="00441BFF" w:rsidRPr="000E2CCC" w:rsidRDefault="00F8323B" w:rsidP="00AC70F4">
      <w:pPr>
        <w:pStyle w:val="Bullet1"/>
        <w:numPr>
          <w:ilvl w:val="0"/>
          <w:numId w:val="8"/>
        </w:numPr>
        <w:spacing w:after="0" w:line="240" w:lineRule="auto"/>
        <w:rPr>
          <w:rFonts w:ascii="Arial" w:hAnsi="Arial" w:cs="Arial"/>
        </w:rPr>
      </w:pPr>
      <w:r w:rsidRPr="000E2CCC">
        <w:rPr>
          <w:rFonts w:ascii="Arial" w:hAnsi="Arial" w:cs="Arial"/>
          <w:bCs/>
        </w:rPr>
        <w:t>HSBC Holdings</w:t>
      </w:r>
    </w:p>
    <w:p w:rsidR="0050728E" w:rsidRPr="000E2CCC" w:rsidRDefault="0050728E" w:rsidP="0050728E">
      <w:pPr>
        <w:pStyle w:val="Bullet1"/>
        <w:numPr>
          <w:ilvl w:val="0"/>
          <w:numId w:val="0"/>
        </w:numPr>
        <w:spacing w:after="0" w:line="240" w:lineRule="auto"/>
        <w:ind w:left="2160"/>
        <w:rPr>
          <w:rFonts w:ascii="Arial" w:hAnsi="Arial" w:cs="Arial"/>
        </w:rPr>
      </w:pPr>
    </w:p>
    <w:p w:rsidR="00441BFF" w:rsidRPr="000E2CCC" w:rsidRDefault="00F8323B" w:rsidP="00AC70F4">
      <w:pPr>
        <w:pStyle w:val="Bullet1"/>
        <w:numPr>
          <w:ilvl w:val="0"/>
          <w:numId w:val="8"/>
        </w:numPr>
        <w:spacing w:after="0" w:line="240" w:lineRule="auto"/>
        <w:rPr>
          <w:rFonts w:ascii="Arial" w:hAnsi="Arial" w:cs="Arial"/>
        </w:rPr>
      </w:pPr>
      <w:r w:rsidRPr="000E2CCC">
        <w:rPr>
          <w:rFonts w:ascii="Arial" w:hAnsi="Arial" w:cs="Arial"/>
          <w:lang w:eastAsia="en-GB"/>
        </w:rPr>
        <w:t>Lonmin</w:t>
      </w:r>
    </w:p>
    <w:p w:rsidR="0050728E" w:rsidRPr="000E2CCC" w:rsidRDefault="0050728E" w:rsidP="0050728E">
      <w:pPr>
        <w:pStyle w:val="Bullet1"/>
        <w:numPr>
          <w:ilvl w:val="0"/>
          <w:numId w:val="0"/>
        </w:numPr>
        <w:spacing w:after="0" w:line="240" w:lineRule="auto"/>
        <w:ind w:left="2160"/>
        <w:rPr>
          <w:rFonts w:ascii="Arial" w:hAnsi="Arial" w:cs="Arial"/>
        </w:rPr>
      </w:pPr>
    </w:p>
    <w:p w:rsidR="00441BFF" w:rsidRPr="000E2CCC" w:rsidRDefault="00441BFF" w:rsidP="00AC70F4">
      <w:pPr>
        <w:pStyle w:val="Bullet1"/>
        <w:numPr>
          <w:ilvl w:val="0"/>
          <w:numId w:val="8"/>
        </w:numPr>
        <w:spacing w:after="0" w:line="240" w:lineRule="auto"/>
        <w:rPr>
          <w:rFonts w:ascii="Arial" w:hAnsi="Arial" w:cs="Arial"/>
        </w:rPr>
      </w:pPr>
      <w:r w:rsidRPr="000E2CCC">
        <w:rPr>
          <w:rFonts w:ascii="Arial" w:hAnsi="Arial" w:cs="Arial"/>
          <w:lang w:eastAsia="en-GB"/>
        </w:rPr>
        <w:t>R</w:t>
      </w:r>
      <w:r w:rsidR="00F8323B" w:rsidRPr="000E2CCC">
        <w:rPr>
          <w:rFonts w:ascii="Arial" w:hAnsi="Arial" w:cs="Arial"/>
          <w:lang w:eastAsia="en-GB"/>
        </w:rPr>
        <w:t>io Tinto</w:t>
      </w:r>
    </w:p>
    <w:p w:rsidR="0050728E" w:rsidRPr="000E2CCC" w:rsidRDefault="0050728E" w:rsidP="0050728E">
      <w:pPr>
        <w:pStyle w:val="Bullet1"/>
        <w:numPr>
          <w:ilvl w:val="0"/>
          <w:numId w:val="0"/>
        </w:numPr>
        <w:spacing w:after="0" w:line="240" w:lineRule="auto"/>
        <w:ind w:left="2160"/>
        <w:rPr>
          <w:rFonts w:ascii="Arial" w:hAnsi="Arial" w:cs="Arial"/>
        </w:rPr>
      </w:pPr>
    </w:p>
    <w:p w:rsidR="00F8323B" w:rsidRPr="000E2CCC" w:rsidRDefault="00F8323B" w:rsidP="00AC70F4">
      <w:pPr>
        <w:pStyle w:val="Bullet1"/>
        <w:numPr>
          <w:ilvl w:val="0"/>
          <w:numId w:val="8"/>
        </w:numPr>
        <w:spacing w:after="0" w:line="240" w:lineRule="auto"/>
        <w:rPr>
          <w:rFonts w:ascii="Arial" w:hAnsi="Arial" w:cs="Arial"/>
        </w:rPr>
      </w:pPr>
      <w:r w:rsidRPr="000E2CCC">
        <w:rPr>
          <w:rFonts w:ascii="Arial" w:hAnsi="Arial" w:cs="Arial"/>
          <w:lang w:eastAsia="en-GB"/>
        </w:rPr>
        <w:t>Diageo</w:t>
      </w:r>
    </w:p>
    <w:p w:rsidR="001C04B9" w:rsidRPr="00441BFF" w:rsidRDefault="001C04B9" w:rsidP="001C04B9">
      <w:pPr>
        <w:pStyle w:val="Bullet1"/>
        <w:numPr>
          <w:ilvl w:val="0"/>
          <w:numId w:val="0"/>
        </w:numPr>
        <w:spacing w:after="0" w:line="240" w:lineRule="auto"/>
        <w:ind w:left="1418"/>
        <w:rPr>
          <w:rFonts w:ascii="Arial" w:hAnsi="Arial" w:cs="Arial"/>
          <w:sz w:val="20"/>
          <w:szCs w:val="20"/>
        </w:rPr>
      </w:pPr>
    </w:p>
    <w:p w:rsidR="001E2FC3" w:rsidRPr="00D26637" w:rsidRDefault="001E2FC3" w:rsidP="00F8323B">
      <w:pPr>
        <w:pStyle w:val="Numbered"/>
        <w:numPr>
          <w:ilvl w:val="0"/>
          <w:numId w:val="0"/>
        </w:numPr>
        <w:ind w:left="540"/>
        <w:jc w:val="both"/>
        <w:rPr>
          <w:rFonts w:ascii="Arial" w:hAnsi="Arial" w:cs="Arial"/>
        </w:rPr>
      </w:pPr>
      <w:r w:rsidRPr="00D26637">
        <w:rPr>
          <w:rFonts w:ascii="Arial" w:hAnsi="Arial" w:cs="Arial"/>
        </w:rPr>
        <w:t xml:space="preserve">These </w:t>
      </w:r>
      <w:r w:rsidR="00D26637">
        <w:rPr>
          <w:rFonts w:ascii="Arial" w:hAnsi="Arial" w:cs="Arial"/>
        </w:rPr>
        <w:t>companies all represent</w:t>
      </w:r>
      <w:r w:rsidRPr="00D26637">
        <w:rPr>
          <w:rFonts w:ascii="Arial" w:hAnsi="Arial" w:cs="Arial"/>
        </w:rPr>
        <w:t xml:space="preserve"> sectors where risk control and </w:t>
      </w:r>
      <w:r w:rsidR="00D26637">
        <w:rPr>
          <w:rFonts w:ascii="Arial" w:hAnsi="Arial" w:cs="Arial"/>
        </w:rPr>
        <w:t>good governance</w:t>
      </w:r>
      <w:r w:rsidR="00F8323B">
        <w:rPr>
          <w:rFonts w:ascii="Arial" w:hAnsi="Arial" w:cs="Arial"/>
        </w:rPr>
        <w:t xml:space="preserve"> are</w:t>
      </w:r>
      <w:r w:rsidRPr="00D26637">
        <w:rPr>
          <w:rFonts w:ascii="Arial" w:hAnsi="Arial" w:cs="Arial"/>
        </w:rPr>
        <w:t xml:space="preserve"> </w:t>
      </w:r>
      <w:r w:rsidR="00D26637">
        <w:rPr>
          <w:rFonts w:ascii="Arial" w:hAnsi="Arial" w:cs="Arial"/>
        </w:rPr>
        <w:t>important in managing reputational risk.</w:t>
      </w:r>
    </w:p>
    <w:p w:rsidR="001E2FC3" w:rsidRPr="00BA3D7A" w:rsidRDefault="00C212C3" w:rsidP="00496ECB">
      <w:pPr>
        <w:pStyle w:val="Numbered"/>
        <w:jc w:val="both"/>
        <w:rPr>
          <w:rFonts w:ascii="Arial" w:hAnsi="Arial" w:cs="Arial"/>
        </w:rPr>
      </w:pPr>
      <w:r>
        <w:rPr>
          <w:rFonts w:ascii="Arial" w:hAnsi="Arial" w:cs="Arial"/>
        </w:rPr>
        <w:t>We are able to compare FTSE 10</w:t>
      </w:r>
      <w:r w:rsidR="00441BFF">
        <w:rPr>
          <w:rFonts w:ascii="Arial" w:hAnsi="Arial" w:cs="Arial"/>
        </w:rPr>
        <w:t>0 results with a sample of Euro</w:t>
      </w:r>
      <w:r>
        <w:rPr>
          <w:rFonts w:ascii="Arial" w:hAnsi="Arial" w:cs="Arial"/>
        </w:rPr>
        <w:t>zone companies - those listed on the Euro Stoxx 50. As in 2010, we found that the UK compares favourably with these European companies but we note that the best Euro</w:t>
      </w:r>
      <w:r w:rsidR="00441BFF">
        <w:rPr>
          <w:rFonts w:ascii="Arial" w:hAnsi="Arial" w:cs="Arial"/>
        </w:rPr>
        <w:t xml:space="preserve">pean companies are catching </w:t>
      </w:r>
      <w:r>
        <w:rPr>
          <w:rFonts w:ascii="Arial" w:hAnsi="Arial" w:cs="Arial"/>
        </w:rPr>
        <w:t>up and equalling the top UK scores.</w:t>
      </w:r>
    </w:p>
    <w:p w:rsidR="0046364A" w:rsidRPr="00C53CF0" w:rsidRDefault="00C212C3" w:rsidP="0066479A">
      <w:pPr>
        <w:pStyle w:val="Numbered"/>
        <w:jc w:val="both"/>
        <w:rPr>
          <w:rFonts w:ascii="Arial" w:hAnsi="Arial" w:cs="Arial"/>
        </w:rPr>
      </w:pPr>
      <w:r w:rsidRPr="00C53CF0">
        <w:rPr>
          <w:rFonts w:ascii="Arial" w:hAnsi="Arial" w:cs="Arial"/>
        </w:rPr>
        <w:t xml:space="preserve">Finally, </w:t>
      </w:r>
      <w:r w:rsidR="001E3954" w:rsidRPr="00C53CF0">
        <w:rPr>
          <w:rFonts w:ascii="Arial" w:hAnsi="Arial" w:cs="Arial"/>
        </w:rPr>
        <w:t>we observe that the transparency ‘bonus’ scores which form the final 5% of the RGI  - that track openness to external advice and scrutiny  -</w:t>
      </w:r>
      <w:r w:rsidR="00054051" w:rsidRPr="00C53CF0">
        <w:rPr>
          <w:rFonts w:ascii="Arial" w:hAnsi="Arial" w:cs="Arial"/>
        </w:rPr>
        <w:t xml:space="preserve"> </w:t>
      </w:r>
      <w:r w:rsidR="001E3954" w:rsidRPr="00C53CF0">
        <w:rPr>
          <w:rFonts w:ascii="Arial" w:hAnsi="Arial" w:cs="Arial"/>
        </w:rPr>
        <w:t xml:space="preserve">have slightly decreased in 2011. This is hardly a trend so far but it might point to a more defensive approach in the governance area. While it is not difficult to find reasons for this, it is perhaps to be regretted and monitored in the future. We see there being benefits from a more open and constructive dialogue, of which this index and report is </w:t>
      </w:r>
      <w:r w:rsidR="00054051" w:rsidRPr="00C53CF0">
        <w:rPr>
          <w:rFonts w:ascii="Arial" w:hAnsi="Arial" w:cs="Arial"/>
        </w:rPr>
        <w:t xml:space="preserve">a </w:t>
      </w:r>
      <w:r w:rsidR="001E3954" w:rsidRPr="00C53CF0">
        <w:rPr>
          <w:rFonts w:ascii="Arial" w:hAnsi="Arial" w:cs="Arial"/>
        </w:rPr>
        <w:t>part.</w:t>
      </w:r>
    </w:p>
    <w:p w:rsidR="0046364A" w:rsidRPr="007A04A8" w:rsidRDefault="0046364A" w:rsidP="000E2CCC">
      <w:pPr>
        <w:pStyle w:val="Head1"/>
        <w:ind w:left="0" w:firstLine="0"/>
        <w:rPr>
          <w:rFonts w:ascii="Arial" w:hAnsi="Arial" w:cs="Arial"/>
          <w:b/>
        </w:rPr>
      </w:pPr>
      <w:bookmarkStart w:id="3" w:name="_Toc273454140"/>
      <w:r w:rsidRPr="007A04A8">
        <w:rPr>
          <w:rFonts w:ascii="Arial" w:hAnsi="Arial" w:cs="Arial"/>
          <w:b/>
        </w:rPr>
        <w:lastRenderedPageBreak/>
        <w:t xml:space="preserve">3 </w:t>
      </w:r>
      <w:r w:rsidR="002C5098" w:rsidRPr="007A04A8">
        <w:rPr>
          <w:rFonts w:ascii="Arial" w:hAnsi="Arial" w:cs="Arial"/>
          <w:b/>
        </w:rPr>
        <w:t xml:space="preserve"> </w:t>
      </w:r>
      <w:r w:rsidRPr="007A04A8">
        <w:rPr>
          <w:rFonts w:ascii="Arial" w:hAnsi="Arial" w:cs="Arial"/>
          <w:b/>
        </w:rPr>
        <w:t>How is the RGI calculated?</w:t>
      </w:r>
      <w:bookmarkEnd w:id="3"/>
    </w:p>
    <w:p w:rsidR="0046364A" w:rsidRDefault="0046364A" w:rsidP="0046364A">
      <w:pPr>
        <w:pStyle w:val="Body"/>
        <w:spacing w:after="120"/>
        <w:rPr>
          <w:rFonts w:ascii="Arial" w:hAnsi="Arial" w:cs="Arial"/>
          <w:lang w:val="en-GB"/>
        </w:rPr>
      </w:pPr>
      <w:r>
        <w:rPr>
          <w:rFonts w:ascii="Arial" w:hAnsi="Arial" w:cs="Arial"/>
          <w:lang w:val="en-GB"/>
        </w:rPr>
        <w:t>The Index is based on 3 categories:</w:t>
      </w:r>
    </w:p>
    <w:p w:rsidR="0046364A" w:rsidRPr="00BA3D7A" w:rsidRDefault="0046364A" w:rsidP="00AC70F4">
      <w:pPr>
        <w:pStyle w:val="Bullet1"/>
        <w:numPr>
          <w:ilvl w:val="0"/>
          <w:numId w:val="9"/>
        </w:numPr>
        <w:rPr>
          <w:rFonts w:ascii="Arial" w:hAnsi="Arial" w:cs="Arial"/>
        </w:rPr>
      </w:pPr>
      <w:r w:rsidRPr="00BA3D7A">
        <w:rPr>
          <w:rFonts w:ascii="Arial" w:hAnsi="Arial" w:cs="Arial"/>
        </w:rPr>
        <w:t xml:space="preserve">Compliance </w:t>
      </w:r>
    </w:p>
    <w:p w:rsidR="0046364A" w:rsidRPr="00BA3D7A" w:rsidRDefault="0046364A" w:rsidP="00AC70F4">
      <w:pPr>
        <w:pStyle w:val="Bullet1"/>
        <w:numPr>
          <w:ilvl w:val="0"/>
          <w:numId w:val="9"/>
        </w:numPr>
        <w:rPr>
          <w:rFonts w:ascii="Arial" w:hAnsi="Arial" w:cs="Arial"/>
        </w:rPr>
      </w:pPr>
      <w:r w:rsidRPr="00BA3D7A">
        <w:rPr>
          <w:rFonts w:ascii="Arial" w:hAnsi="Arial" w:cs="Arial"/>
        </w:rPr>
        <w:t>Capacity</w:t>
      </w:r>
    </w:p>
    <w:p w:rsidR="0046364A" w:rsidRPr="00BA3D7A" w:rsidRDefault="0046364A" w:rsidP="00AC70F4">
      <w:pPr>
        <w:pStyle w:val="Bullet1"/>
        <w:numPr>
          <w:ilvl w:val="0"/>
          <w:numId w:val="9"/>
        </w:numPr>
        <w:rPr>
          <w:rFonts w:ascii="Arial" w:hAnsi="Arial" w:cs="Arial"/>
        </w:rPr>
      </w:pPr>
      <w:r w:rsidRPr="00BA3D7A">
        <w:rPr>
          <w:rFonts w:ascii="Arial" w:hAnsi="Arial" w:cs="Arial"/>
        </w:rPr>
        <w:t>Commitment</w:t>
      </w:r>
    </w:p>
    <w:p w:rsidR="0046364A" w:rsidRDefault="0046364A" w:rsidP="0046364A">
      <w:pPr>
        <w:pStyle w:val="Body"/>
        <w:spacing w:after="120"/>
        <w:rPr>
          <w:rFonts w:ascii="Arial" w:hAnsi="Arial" w:cs="Arial"/>
          <w:lang w:val="en-GB"/>
        </w:rPr>
      </w:pPr>
      <w:r>
        <w:rPr>
          <w:rFonts w:ascii="Arial" w:hAnsi="Arial" w:cs="Arial"/>
          <w:lang w:val="en-GB"/>
        </w:rPr>
        <w:t>Each category is comprised of a number of elements.</w:t>
      </w:r>
    </w:p>
    <w:p w:rsidR="0046364A" w:rsidRDefault="0046364A" w:rsidP="0046364A">
      <w:pPr>
        <w:pStyle w:val="Body"/>
        <w:spacing w:after="120"/>
        <w:rPr>
          <w:rFonts w:ascii="Arial" w:hAnsi="Arial" w:cs="Arial"/>
          <w:lang w:val="en-GB"/>
        </w:rPr>
      </w:pPr>
      <w:r>
        <w:rPr>
          <w:rFonts w:ascii="Arial" w:hAnsi="Arial" w:cs="Arial"/>
          <w:lang w:val="en-GB"/>
        </w:rPr>
        <w:t>These elements are scored for every company and combined to create an overall category result expressed as a grade A to F.</w:t>
      </w:r>
    </w:p>
    <w:p w:rsidR="0046364A" w:rsidRDefault="0046364A" w:rsidP="0046364A">
      <w:pPr>
        <w:pStyle w:val="Body"/>
        <w:spacing w:after="120"/>
        <w:rPr>
          <w:rFonts w:ascii="Arial" w:hAnsi="Arial" w:cs="Arial"/>
        </w:rPr>
      </w:pPr>
      <w:r>
        <w:rPr>
          <w:rFonts w:ascii="Arial" w:hAnsi="Arial" w:cs="Arial"/>
          <w:lang w:val="en-GB"/>
        </w:rPr>
        <w:t>The three</w:t>
      </w:r>
      <w:r w:rsidRPr="00B72A21">
        <w:rPr>
          <w:rFonts w:ascii="Arial" w:hAnsi="Arial" w:cs="Arial"/>
        </w:rPr>
        <w:t xml:space="preserve"> </w:t>
      </w:r>
      <w:r w:rsidRPr="00BA3D7A">
        <w:rPr>
          <w:rFonts w:ascii="Arial" w:hAnsi="Arial" w:cs="Arial"/>
        </w:rPr>
        <w:t xml:space="preserve">A-F ratings for each category are then combined in a simple algorithm to give </w:t>
      </w:r>
      <w:r w:rsidRPr="00BA3D7A">
        <w:rPr>
          <w:rFonts w:ascii="Arial" w:hAnsi="Arial" w:cs="Arial"/>
        </w:rPr>
        <w:br/>
        <w:t xml:space="preserve">the final index.  </w:t>
      </w:r>
    </w:p>
    <w:p w:rsidR="0046364A" w:rsidRDefault="0046364A" w:rsidP="0046364A">
      <w:pPr>
        <w:pStyle w:val="Body"/>
        <w:spacing w:after="120"/>
        <w:rPr>
          <w:rFonts w:ascii="Arial" w:hAnsi="Arial" w:cs="Arial"/>
        </w:rPr>
      </w:pPr>
      <w:r w:rsidRPr="00BA3D7A">
        <w:rPr>
          <w:rFonts w:ascii="Arial" w:hAnsi="Arial" w:cs="Arial"/>
        </w:rPr>
        <w:t>This approach ensures that although there are many elements included, no one element dominates the result</w:t>
      </w:r>
      <w:r>
        <w:rPr>
          <w:rFonts w:ascii="Arial" w:hAnsi="Arial" w:cs="Arial"/>
        </w:rPr>
        <w:t>.</w:t>
      </w:r>
    </w:p>
    <w:p w:rsidR="0046364A" w:rsidRPr="00BA3D7A" w:rsidRDefault="0046364A" w:rsidP="0046364A">
      <w:pPr>
        <w:pStyle w:val="Body"/>
        <w:spacing w:after="120"/>
        <w:rPr>
          <w:rFonts w:ascii="Arial" w:hAnsi="Arial" w:cs="Arial"/>
          <w:lang w:val="en-GB"/>
        </w:rPr>
      </w:pPr>
      <w:r>
        <w:rPr>
          <w:rFonts w:ascii="Arial" w:hAnsi="Arial" w:cs="Arial"/>
        </w:rPr>
        <w:t>Notes:</w:t>
      </w:r>
    </w:p>
    <w:p w:rsidR="0046364A" w:rsidRPr="00BA3D7A" w:rsidRDefault="0046364A" w:rsidP="0066479A">
      <w:pPr>
        <w:pStyle w:val="Numbered"/>
        <w:numPr>
          <w:ilvl w:val="0"/>
          <w:numId w:val="6"/>
        </w:numPr>
        <w:jc w:val="both"/>
        <w:rPr>
          <w:rFonts w:ascii="Arial" w:hAnsi="Arial" w:cs="Arial"/>
        </w:rPr>
      </w:pPr>
      <w:r w:rsidRPr="00BA3D7A">
        <w:rPr>
          <w:rFonts w:ascii="Arial" w:hAnsi="Arial" w:cs="Arial"/>
        </w:rPr>
        <w:t xml:space="preserve">In some </w:t>
      </w:r>
      <w:r>
        <w:rPr>
          <w:rFonts w:ascii="Arial" w:hAnsi="Arial" w:cs="Arial"/>
        </w:rPr>
        <w:t>elements</w:t>
      </w:r>
      <w:r w:rsidRPr="00BA3D7A">
        <w:rPr>
          <w:rFonts w:ascii="Arial" w:hAnsi="Arial" w:cs="Arial"/>
        </w:rPr>
        <w:t xml:space="preserve"> the scores are b</w:t>
      </w:r>
      <w:r>
        <w:rPr>
          <w:rFonts w:ascii="Arial" w:hAnsi="Arial" w:cs="Arial"/>
        </w:rPr>
        <w:t>enchmarked in relation to</w:t>
      </w:r>
      <w:r w:rsidRPr="00BA3D7A">
        <w:rPr>
          <w:rFonts w:ascii="Arial" w:hAnsi="Arial" w:cs="Arial"/>
        </w:rPr>
        <w:t xml:space="preserve"> all FTSE companies’ current practice and in other cases (where elements more closely relate to individual industry sectors) companies have been scored against the current range for that sector.</w:t>
      </w:r>
    </w:p>
    <w:p w:rsidR="0046364A" w:rsidRDefault="0046364A" w:rsidP="0066479A">
      <w:pPr>
        <w:pStyle w:val="Numbered"/>
        <w:numPr>
          <w:ilvl w:val="0"/>
          <w:numId w:val="6"/>
        </w:numPr>
        <w:jc w:val="both"/>
        <w:rPr>
          <w:rFonts w:ascii="Arial" w:hAnsi="Arial" w:cs="Arial"/>
        </w:rPr>
      </w:pPr>
      <w:r w:rsidRPr="00B72A21">
        <w:rPr>
          <w:rFonts w:ascii="Arial" w:hAnsi="Arial" w:cs="Arial"/>
        </w:rPr>
        <w:t xml:space="preserve">Each element is weighted according to our judgement of its significance in overall </w:t>
      </w:r>
      <w:r>
        <w:rPr>
          <w:rFonts w:ascii="Arial" w:hAnsi="Arial" w:cs="Arial"/>
        </w:rPr>
        <w:t xml:space="preserve">corporate governance.  </w:t>
      </w:r>
      <w:r w:rsidRPr="00B72A21">
        <w:rPr>
          <w:rFonts w:ascii="Arial" w:hAnsi="Arial" w:cs="Arial"/>
        </w:rPr>
        <w:t xml:space="preserve">  </w:t>
      </w:r>
    </w:p>
    <w:p w:rsidR="0046364A" w:rsidRPr="00B72A21" w:rsidRDefault="0046364A" w:rsidP="00AC70F4">
      <w:pPr>
        <w:pStyle w:val="Numbered"/>
        <w:numPr>
          <w:ilvl w:val="0"/>
          <w:numId w:val="6"/>
        </w:numPr>
        <w:rPr>
          <w:rFonts w:ascii="Arial" w:hAnsi="Arial" w:cs="Arial"/>
        </w:rPr>
      </w:pPr>
      <w:r w:rsidRPr="00B72A21">
        <w:rPr>
          <w:rFonts w:ascii="Arial" w:hAnsi="Arial" w:cs="Arial"/>
        </w:rPr>
        <w:t xml:space="preserve">RGI compiled as at </w:t>
      </w:r>
      <w:r>
        <w:rPr>
          <w:rFonts w:ascii="Arial" w:hAnsi="Arial" w:cs="Arial"/>
        </w:rPr>
        <w:t>30</w:t>
      </w:r>
      <w:r w:rsidRPr="00243337">
        <w:rPr>
          <w:rFonts w:ascii="Arial" w:hAnsi="Arial" w:cs="Arial"/>
          <w:vertAlign w:val="superscript"/>
        </w:rPr>
        <w:t>th</w:t>
      </w:r>
      <w:r>
        <w:rPr>
          <w:rFonts w:ascii="Arial" w:hAnsi="Arial" w:cs="Arial"/>
        </w:rPr>
        <w:t xml:space="preserve"> </w:t>
      </w:r>
      <w:r w:rsidRPr="00B72A21">
        <w:rPr>
          <w:rFonts w:ascii="Arial" w:hAnsi="Arial" w:cs="Arial"/>
        </w:rPr>
        <w:t>June 2011.</w:t>
      </w:r>
    </w:p>
    <w:p w:rsidR="0046364A" w:rsidRPr="006A69CF" w:rsidRDefault="0046364A" w:rsidP="0046364A">
      <w:pPr>
        <w:pStyle w:val="Head2"/>
        <w:rPr>
          <w:rFonts w:ascii="Arial" w:hAnsi="Arial" w:cs="Arial"/>
          <w:b/>
          <w:color w:val="C00000"/>
        </w:rPr>
      </w:pPr>
      <w:r w:rsidRPr="00BA3D7A">
        <w:rPr>
          <w:rFonts w:ascii="Arial" w:hAnsi="Arial" w:cs="Arial"/>
        </w:rPr>
        <w:br w:type="page"/>
      </w:r>
      <w:bookmarkStart w:id="4" w:name="_Toc273454141"/>
      <w:bookmarkStart w:id="5" w:name="_Toc273454142"/>
      <w:r w:rsidRPr="006A69CF">
        <w:rPr>
          <w:rFonts w:ascii="Arial" w:hAnsi="Arial" w:cs="Arial"/>
          <w:b/>
          <w:color w:val="C00000"/>
        </w:rPr>
        <w:lastRenderedPageBreak/>
        <w:t>3.1 Compliance</w:t>
      </w:r>
      <w:bookmarkEnd w:id="4"/>
      <w:r w:rsidRPr="006A69CF">
        <w:rPr>
          <w:rFonts w:ascii="Arial" w:hAnsi="Arial" w:cs="Arial"/>
          <w:b/>
          <w:color w:val="C00000"/>
        </w:rPr>
        <w:t xml:space="preserve"> </w:t>
      </w:r>
    </w:p>
    <w:p w:rsidR="0046364A" w:rsidRPr="00BA3D7A" w:rsidRDefault="0046364A" w:rsidP="0046364A">
      <w:pPr>
        <w:pStyle w:val="Body"/>
        <w:rPr>
          <w:rFonts w:ascii="Arial" w:hAnsi="Arial" w:cs="Arial"/>
          <w:lang w:val="en-GB"/>
        </w:rPr>
      </w:pPr>
      <w:r w:rsidRPr="00BA3D7A">
        <w:rPr>
          <w:rFonts w:ascii="Arial" w:hAnsi="Arial" w:cs="Arial"/>
          <w:lang w:val="en-GB"/>
        </w:rPr>
        <w:t xml:space="preserve">Compliance is assessed with reference to each of the 48 sections of the Financial Reporting Council </w:t>
      </w:r>
      <w:r>
        <w:rPr>
          <w:rFonts w:ascii="Arial" w:hAnsi="Arial" w:cs="Arial"/>
          <w:lang w:val="en-GB"/>
        </w:rPr>
        <w:t>UK Governance Code (June 2010</w:t>
      </w:r>
      <w:r w:rsidRPr="00BA3D7A">
        <w:rPr>
          <w:rFonts w:ascii="Arial" w:hAnsi="Arial" w:cs="Arial"/>
          <w:lang w:val="en-GB"/>
        </w:rPr>
        <w:t>) including:</w:t>
      </w:r>
    </w:p>
    <w:p w:rsidR="0046364A" w:rsidRPr="00BA3D7A" w:rsidRDefault="0046364A" w:rsidP="00AC70F4">
      <w:pPr>
        <w:pStyle w:val="Numbered"/>
        <w:numPr>
          <w:ilvl w:val="0"/>
          <w:numId w:val="4"/>
        </w:numPr>
        <w:ind w:left="540" w:hanging="540"/>
        <w:rPr>
          <w:rFonts w:ascii="Arial" w:hAnsi="Arial" w:cs="Arial"/>
        </w:rPr>
      </w:pPr>
      <w:r w:rsidRPr="00BA3D7A">
        <w:rPr>
          <w:rFonts w:ascii="Arial" w:hAnsi="Arial" w:cs="Arial"/>
        </w:rPr>
        <w:t>The identification of senior roles and key committees</w:t>
      </w:r>
    </w:p>
    <w:p w:rsidR="0046364A" w:rsidRPr="00BA3D7A" w:rsidRDefault="0046364A" w:rsidP="0046364A">
      <w:pPr>
        <w:pStyle w:val="Numbered"/>
        <w:rPr>
          <w:rFonts w:ascii="Arial" w:hAnsi="Arial" w:cs="Arial"/>
        </w:rPr>
      </w:pPr>
      <w:r w:rsidRPr="00BA3D7A">
        <w:rPr>
          <w:rFonts w:ascii="Arial" w:hAnsi="Arial" w:cs="Arial"/>
        </w:rPr>
        <w:t>Separation of senior roles and appointment procedures and information/professional briefing</w:t>
      </w:r>
    </w:p>
    <w:p w:rsidR="0046364A" w:rsidRPr="00BA3D7A" w:rsidRDefault="0046364A" w:rsidP="0046364A">
      <w:pPr>
        <w:pStyle w:val="Numbered"/>
        <w:rPr>
          <w:rFonts w:ascii="Arial" w:hAnsi="Arial" w:cs="Arial"/>
        </w:rPr>
      </w:pPr>
      <w:r w:rsidRPr="00BA3D7A">
        <w:rPr>
          <w:rFonts w:ascii="Arial" w:hAnsi="Arial" w:cs="Arial"/>
        </w:rPr>
        <w:t xml:space="preserve">Identification, proportion and role of Independent, Senior Independent and Non-Executive Directors </w:t>
      </w:r>
    </w:p>
    <w:p w:rsidR="0046364A" w:rsidRPr="00BA3D7A" w:rsidRDefault="0046364A" w:rsidP="0046364A">
      <w:pPr>
        <w:pStyle w:val="Numbered"/>
        <w:rPr>
          <w:rFonts w:ascii="Arial" w:hAnsi="Arial" w:cs="Arial"/>
        </w:rPr>
      </w:pPr>
      <w:r w:rsidRPr="00BA3D7A">
        <w:rPr>
          <w:rFonts w:ascii="Arial" w:hAnsi="Arial" w:cs="Arial"/>
        </w:rPr>
        <w:t xml:space="preserve">Performance evaluation of the board, its committees and its individual directors </w:t>
      </w:r>
    </w:p>
    <w:p w:rsidR="0046364A" w:rsidRPr="00BA3D7A" w:rsidRDefault="0046364A" w:rsidP="0046364A">
      <w:pPr>
        <w:pStyle w:val="Numbered"/>
        <w:rPr>
          <w:rFonts w:ascii="Arial" w:hAnsi="Arial" w:cs="Arial"/>
        </w:rPr>
      </w:pPr>
      <w:r w:rsidRPr="00BA3D7A">
        <w:rPr>
          <w:rFonts w:ascii="Arial" w:hAnsi="Arial" w:cs="Arial"/>
        </w:rPr>
        <w:t>Access to information and professional development</w:t>
      </w:r>
    </w:p>
    <w:p w:rsidR="0046364A" w:rsidRPr="00BA3D7A" w:rsidRDefault="0046364A" w:rsidP="0046364A">
      <w:pPr>
        <w:pStyle w:val="Numbered"/>
        <w:rPr>
          <w:rFonts w:ascii="Arial" w:hAnsi="Arial" w:cs="Arial"/>
        </w:rPr>
      </w:pPr>
      <w:r w:rsidRPr="00BA3D7A">
        <w:rPr>
          <w:rFonts w:ascii="Arial" w:hAnsi="Arial" w:cs="Arial"/>
        </w:rPr>
        <w:t>Remuneration structures and transparency</w:t>
      </w:r>
    </w:p>
    <w:p w:rsidR="0046364A" w:rsidRPr="00BA3D7A" w:rsidRDefault="0046364A" w:rsidP="0046364A">
      <w:pPr>
        <w:pStyle w:val="Numbered"/>
        <w:rPr>
          <w:rFonts w:ascii="Arial" w:hAnsi="Arial" w:cs="Arial"/>
        </w:rPr>
      </w:pPr>
      <w:r w:rsidRPr="00BA3D7A">
        <w:rPr>
          <w:rFonts w:ascii="Arial" w:hAnsi="Arial" w:cs="Arial"/>
        </w:rPr>
        <w:t>Audit and accountability</w:t>
      </w:r>
    </w:p>
    <w:p w:rsidR="0046364A" w:rsidRPr="00BA3D7A" w:rsidRDefault="0046364A" w:rsidP="0046364A">
      <w:pPr>
        <w:pStyle w:val="Numbered"/>
        <w:rPr>
          <w:rFonts w:ascii="Arial" w:hAnsi="Arial" w:cs="Arial"/>
        </w:rPr>
      </w:pPr>
      <w:r w:rsidRPr="00BA3D7A">
        <w:rPr>
          <w:rFonts w:ascii="Arial" w:hAnsi="Arial" w:cs="Arial"/>
        </w:rPr>
        <w:t>Relations with shareholders</w:t>
      </w:r>
    </w:p>
    <w:p w:rsidR="0046364A" w:rsidRDefault="0046364A" w:rsidP="0066479A">
      <w:pPr>
        <w:pStyle w:val="Body"/>
        <w:spacing w:after="120"/>
        <w:rPr>
          <w:rFonts w:ascii="Arial" w:hAnsi="Arial" w:cs="Arial"/>
          <w:lang w:val="en-GB"/>
        </w:rPr>
      </w:pPr>
      <w:r w:rsidRPr="00BA3D7A">
        <w:rPr>
          <w:rFonts w:ascii="Arial" w:hAnsi="Arial" w:cs="Arial"/>
          <w:lang w:val="en-GB"/>
        </w:rPr>
        <w:t>Fuller reporting is given greater credit as is the quality of the explana</w:t>
      </w:r>
      <w:r>
        <w:rPr>
          <w:rFonts w:ascii="Arial" w:hAnsi="Arial" w:cs="Arial"/>
          <w:lang w:val="en-GB"/>
        </w:rPr>
        <w:t>tions of</w:t>
      </w:r>
      <w:r w:rsidRPr="00BA3D7A">
        <w:rPr>
          <w:rFonts w:ascii="Arial" w:hAnsi="Arial" w:cs="Arial"/>
          <w:lang w:val="en-GB"/>
        </w:rPr>
        <w:t xml:space="preserve"> why they may choose not to comply.  </w:t>
      </w:r>
    </w:p>
    <w:p w:rsidR="0046364A" w:rsidRPr="00BA3D7A" w:rsidRDefault="0046364A" w:rsidP="0066479A">
      <w:pPr>
        <w:pStyle w:val="Body"/>
        <w:spacing w:after="120"/>
        <w:rPr>
          <w:rFonts w:ascii="Arial" w:hAnsi="Arial" w:cs="Arial"/>
          <w:lang w:val="en-GB"/>
        </w:rPr>
      </w:pPr>
      <w:r>
        <w:rPr>
          <w:rFonts w:ascii="Arial" w:hAnsi="Arial" w:cs="Arial"/>
          <w:lang w:val="en-GB"/>
        </w:rPr>
        <w:t xml:space="preserve">Results in this category are uniformly high in the ‘top half’ of the FTSE RGI rankings. </w:t>
      </w:r>
    </w:p>
    <w:p w:rsidR="0046364A" w:rsidRPr="006A69CF" w:rsidRDefault="0046364A" w:rsidP="0046364A">
      <w:pPr>
        <w:pStyle w:val="Head2"/>
        <w:rPr>
          <w:rFonts w:ascii="Arial" w:hAnsi="Arial" w:cs="Arial"/>
          <w:b/>
        </w:rPr>
      </w:pPr>
      <w:r w:rsidRPr="00BA3D7A">
        <w:rPr>
          <w:rFonts w:ascii="Arial" w:hAnsi="Arial" w:cs="Arial"/>
        </w:rPr>
        <w:br w:type="page"/>
      </w:r>
      <w:r w:rsidRPr="006A69CF">
        <w:rPr>
          <w:rFonts w:ascii="Arial" w:hAnsi="Arial" w:cs="Arial"/>
          <w:b/>
        </w:rPr>
        <w:lastRenderedPageBreak/>
        <w:t>3.2 Capacity</w:t>
      </w:r>
      <w:bookmarkEnd w:id="5"/>
    </w:p>
    <w:p w:rsidR="0046364A" w:rsidRPr="00BA3D7A" w:rsidRDefault="0046364A" w:rsidP="0066479A">
      <w:pPr>
        <w:pStyle w:val="Body"/>
        <w:spacing w:after="240"/>
        <w:rPr>
          <w:rFonts w:ascii="Arial" w:hAnsi="Arial" w:cs="Arial"/>
          <w:lang w:val="en-GB"/>
        </w:rPr>
      </w:pPr>
      <w:r w:rsidRPr="00BA3D7A">
        <w:rPr>
          <w:rFonts w:ascii="Arial" w:hAnsi="Arial" w:cs="Arial"/>
          <w:lang w:val="en-GB"/>
        </w:rPr>
        <w:t xml:space="preserve">The evaluation of Capacity is based on an assessment of “Effectiveness”, “Reliability” and “Performance”. The weightings </w:t>
      </w:r>
      <w:r>
        <w:rPr>
          <w:rFonts w:ascii="Arial" w:hAnsi="Arial" w:cs="Arial"/>
          <w:lang w:val="en-GB"/>
        </w:rPr>
        <w:t xml:space="preserve">in the category </w:t>
      </w:r>
      <w:r w:rsidRPr="00BA3D7A">
        <w:rPr>
          <w:rFonts w:ascii="Arial" w:hAnsi="Arial" w:cs="Arial"/>
          <w:lang w:val="en-GB"/>
        </w:rPr>
        <w:t>are as follows:</w:t>
      </w:r>
    </w:p>
    <w:p w:rsidR="0046364A" w:rsidRPr="00BA3D7A" w:rsidRDefault="0046364A" w:rsidP="00AC70F4">
      <w:pPr>
        <w:pStyle w:val="Bullet1"/>
        <w:numPr>
          <w:ilvl w:val="0"/>
          <w:numId w:val="10"/>
        </w:numPr>
        <w:rPr>
          <w:rFonts w:ascii="Arial" w:hAnsi="Arial" w:cs="Arial"/>
        </w:rPr>
      </w:pPr>
      <w:r w:rsidRPr="00BA3D7A">
        <w:rPr>
          <w:rFonts w:ascii="Arial" w:hAnsi="Arial" w:cs="Arial"/>
          <w:b/>
        </w:rPr>
        <w:t>Effectiveness (34% weighting)</w:t>
      </w:r>
      <w:r w:rsidRPr="00BA3D7A">
        <w:rPr>
          <w:rFonts w:ascii="Arial" w:hAnsi="Arial" w:cs="Arial"/>
          <w:b/>
        </w:rPr>
        <w:br/>
      </w:r>
      <w:r w:rsidRPr="00BA3D7A">
        <w:rPr>
          <w:rFonts w:ascii="Arial" w:hAnsi="Arial" w:cs="Arial"/>
        </w:rPr>
        <w:t xml:space="preserve">This relates to </w:t>
      </w:r>
      <w:r>
        <w:rPr>
          <w:rFonts w:ascii="Arial" w:hAnsi="Arial" w:cs="Arial"/>
        </w:rPr>
        <w:t xml:space="preserve">such organisational issues as </w:t>
      </w:r>
      <w:r w:rsidRPr="00BA3D7A">
        <w:rPr>
          <w:rFonts w:ascii="Arial" w:hAnsi="Arial" w:cs="Arial"/>
        </w:rPr>
        <w:t>the number of meetings held during the reporting period and the levels of attendance of Board and key committee members at these meetings</w:t>
      </w:r>
    </w:p>
    <w:p w:rsidR="0046364A" w:rsidRPr="00BA3D7A" w:rsidRDefault="0046364A" w:rsidP="00AC70F4">
      <w:pPr>
        <w:pStyle w:val="Bullet1"/>
        <w:numPr>
          <w:ilvl w:val="0"/>
          <w:numId w:val="10"/>
        </w:numPr>
        <w:rPr>
          <w:rFonts w:ascii="Arial" w:hAnsi="Arial" w:cs="Arial"/>
        </w:rPr>
      </w:pPr>
      <w:r w:rsidRPr="00BA3D7A">
        <w:rPr>
          <w:rFonts w:ascii="Arial" w:hAnsi="Arial" w:cs="Arial"/>
          <w:b/>
        </w:rPr>
        <w:t>Reliability (43%)</w:t>
      </w:r>
      <w:r w:rsidRPr="00BA3D7A">
        <w:rPr>
          <w:rFonts w:ascii="Arial" w:hAnsi="Arial" w:cs="Arial"/>
        </w:rPr>
        <w:br/>
        <w:t xml:space="preserve">This relates to </w:t>
      </w:r>
      <w:r>
        <w:rPr>
          <w:rFonts w:ascii="Arial" w:hAnsi="Arial" w:cs="Arial"/>
        </w:rPr>
        <w:t xml:space="preserve">measures of </w:t>
      </w:r>
      <w:r w:rsidRPr="00BA3D7A">
        <w:rPr>
          <w:rFonts w:ascii="Arial" w:hAnsi="Arial" w:cs="Arial"/>
        </w:rPr>
        <w:t>the independence, size and composition of the Board and key committees and looks beyond ‘Code’ compliance</w:t>
      </w:r>
    </w:p>
    <w:p w:rsidR="0046364A" w:rsidRPr="00BA3D7A" w:rsidRDefault="0046364A" w:rsidP="00AC70F4">
      <w:pPr>
        <w:pStyle w:val="Bullet1"/>
        <w:numPr>
          <w:ilvl w:val="0"/>
          <w:numId w:val="10"/>
        </w:numPr>
        <w:spacing w:after="240"/>
        <w:rPr>
          <w:rFonts w:ascii="Arial" w:hAnsi="Arial" w:cs="Arial"/>
        </w:rPr>
      </w:pPr>
      <w:r w:rsidRPr="00BA3D7A">
        <w:rPr>
          <w:rFonts w:ascii="Arial" w:hAnsi="Arial" w:cs="Arial"/>
          <w:b/>
        </w:rPr>
        <w:t>Performance (23%)</w:t>
      </w:r>
      <w:r w:rsidRPr="00BA3D7A">
        <w:rPr>
          <w:rFonts w:ascii="Arial" w:hAnsi="Arial" w:cs="Arial"/>
        </w:rPr>
        <w:br/>
      </w:r>
      <w:r>
        <w:rPr>
          <w:rFonts w:ascii="Arial" w:hAnsi="Arial" w:cs="Arial"/>
        </w:rPr>
        <w:t xml:space="preserve">This considers, inter alia, </w:t>
      </w:r>
      <w:r w:rsidRPr="00BA3D7A">
        <w:rPr>
          <w:rFonts w:ascii="Arial" w:hAnsi="Arial" w:cs="Arial"/>
        </w:rPr>
        <w:t>the short versus long term nature of the remuneration of the CEO and the relationship of this remuneration level to company performance</w:t>
      </w:r>
    </w:p>
    <w:p w:rsidR="0046364A" w:rsidRPr="00BA3D7A" w:rsidRDefault="0046364A" w:rsidP="0046364A">
      <w:pPr>
        <w:pStyle w:val="Body"/>
        <w:spacing w:after="120"/>
        <w:rPr>
          <w:rFonts w:ascii="Arial" w:hAnsi="Arial" w:cs="Arial"/>
          <w:lang w:val="en-GB"/>
        </w:rPr>
      </w:pPr>
      <w:r w:rsidRPr="00BA3D7A">
        <w:rPr>
          <w:rFonts w:ascii="Arial" w:hAnsi="Arial" w:cs="Arial"/>
          <w:lang w:val="en-GB"/>
        </w:rPr>
        <w:t xml:space="preserve">Since Capacity is a relative measure it is </w:t>
      </w:r>
      <w:r>
        <w:rPr>
          <w:rFonts w:ascii="Arial" w:hAnsi="Arial" w:cs="Arial"/>
          <w:lang w:val="en-GB"/>
        </w:rPr>
        <w:t xml:space="preserve">usually </w:t>
      </w:r>
      <w:r w:rsidRPr="00BA3D7A">
        <w:rPr>
          <w:rFonts w:ascii="Arial" w:hAnsi="Arial" w:cs="Arial"/>
          <w:lang w:val="en-GB"/>
        </w:rPr>
        <w:t xml:space="preserve">benchmarked against the best performers in the FTSE 100.  For Effectiveness and Reliability (the first two categories) the comparison is </w:t>
      </w:r>
      <w:r>
        <w:rPr>
          <w:rFonts w:ascii="Arial" w:hAnsi="Arial" w:cs="Arial"/>
          <w:lang w:val="en-GB"/>
        </w:rPr>
        <w:t xml:space="preserve">normally </w:t>
      </w:r>
      <w:r w:rsidRPr="00BA3D7A">
        <w:rPr>
          <w:rFonts w:ascii="Arial" w:hAnsi="Arial" w:cs="Arial"/>
          <w:lang w:val="en-GB"/>
        </w:rPr>
        <w:t xml:space="preserve">based on companies with similar market capitalisation. </w:t>
      </w:r>
    </w:p>
    <w:p w:rsidR="0046364A" w:rsidRPr="00BA3D7A" w:rsidRDefault="0046364A" w:rsidP="0046364A">
      <w:pPr>
        <w:pStyle w:val="Body"/>
        <w:spacing w:after="120"/>
        <w:rPr>
          <w:rFonts w:ascii="Arial" w:hAnsi="Arial" w:cs="Arial"/>
          <w:lang w:val="en-GB"/>
        </w:rPr>
      </w:pPr>
      <w:r w:rsidRPr="00BA3D7A">
        <w:rPr>
          <w:rFonts w:ascii="Arial" w:hAnsi="Arial" w:cs="Arial"/>
          <w:lang w:val="en-GB"/>
        </w:rPr>
        <w:t>Overall, the scores achieved in Capacity fell compared to 2009</w:t>
      </w:r>
      <w:r>
        <w:rPr>
          <w:rFonts w:ascii="Arial" w:hAnsi="Arial" w:cs="Arial"/>
          <w:lang w:val="en-GB"/>
        </w:rPr>
        <w:t xml:space="preserve"> and 2011</w:t>
      </w:r>
      <w:r w:rsidRPr="00BA3D7A">
        <w:rPr>
          <w:rFonts w:ascii="Arial" w:hAnsi="Arial" w:cs="Arial"/>
          <w:lang w:val="en-GB"/>
        </w:rPr>
        <w:t>.</w:t>
      </w:r>
    </w:p>
    <w:p w:rsidR="0046364A" w:rsidRPr="00BA3D7A" w:rsidRDefault="0046364A" w:rsidP="0046364A">
      <w:pPr>
        <w:pStyle w:val="Body"/>
        <w:spacing w:after="120"/>
        <w:rPr>
          <w:rFonts w:ascii="Arial" w:hAnsi="Arial" w:cs="Arial"/>
          <w:lang w:val="en-GB"/>
        </w:rPr>
      </w:pPr>
    </w:p>
    <w:p w:rsidR="0046364A" w:rsidRPr="006A69CF" w:rsidRDefault="0046364A" w:rsidP="0046364A">
      <w:pPr>
        <w:pStyle w:val="Head2"/>
        <w:rPr>
          <w:rFonts w:ascii="Arial" w:hAnsi="Arial" w:cs="Arial"/>
          <w:b/>
        </w:rPr>
      </w:pPr>
      <w:bookmarkStart w:id="6" w:name="_Toc273454143"/>
      <w:r w:rsidRPr="006A69CF">
        <w:rPr>
          <w:rFonts w:ascii="Arial" w:hAnsi="Arial" w:cs="Arial"/>
          <w:b/>
        </w:rPr>
        <w:t>3.3 Commitment</w:t>
      </w:r>
      <w:bookmarkEnd w:id="6"/>
    </w:p>
    <w:p w:rsidR="0046364A" w:rsidRPr="00BA3D7A" w:rsidRDefault="0046364A" w:rsidP="0046364A">
      <w:pPr>
        <w:pStyle w:val="Body"/>
        <w:spacing w:after="120"/>
        <w:rPr>
          <w:rFonts w:ascii="Arial" w:hAnsi="Arial" w:cs="Arial"/>
          <w:lang w:val="en-GB"/>
        </w:rPr>
      </w:pPr>
      <w:r>
        <w:rPr>
          <w:rFonts w:ascii="Arial" w:hAnsi="Arial" w:cs="Arial"/>
          <w:lang w:val="en-GB"/>
        </w:rPr>
        <w:t xml:space="preserve">We believe a broader view of governance is necessary. </w:t>
      </w:r>
      <w:r w:rsidRPr="00BA3D7A">
        <w:rPr>
          <w:rFonts w:ascii="Arial" w:hAnsi="Arial" w:cs="Arial"/>
          <w:lang w:val="en-GB"/>
        </w:rPr>
        <w:t xml:space="preserve">The analysis of Commitment is based on those elements considered to be part of </w:t>
      </w:r>
      <w:r>
        <w:rPr>
          <w:rFonts w:ascii="Arial" w:hAnsi="Arial" w:cs="Arial"/>
          <w:lang w:val="en-GB"/>
        </w:rPr>
        <w:t>‘</w:t>
      </w:r>
      <w:r w:rsidRPr="00BA3D7A">
        <w:rPr>
          <w:rFonts w:ascii="Arial" w:hAnsi="Arial" w:cs="Arial"/>
          <w:lang w:val="en-GB"/>
        </w:rPr>
        <w:t>good</w:t>
      </w:r>
      <w:r>
        <w:rPr>
          <w:rFonts w:ascii="Arial" w:hAnsi="Arial" w:cs="Arial"/>
          <w:lang w:val="en-GB"/>
        </w:rPr>
        <w:t>’</w:t>
      </w:r>
      <w:r w:rsidRPr="00BA3D7A">
        <w:rPr>
          <w:rFonts w:ascii="Arial" w:hAnsi="Arial" w:cs="Arial"/>
          <w:lang w:val="en-GB"/>
        </w:rPr>
        <w:t xml:space="preserve"> corporate governance that both influence and reflect a sound ethical corporate culture. Three main areas are assessed: </w:t>
      </w:r>
    </w:p>
    <w:p w:rsidR="0046364A" w:rsidRPr="00BA3D7A" w:rsidRDefault="0046364A" w:rsidP="00AC70F4">
      <w:pPr>
        <w:pStyle w:val="Bullet1"/>
        <w:numPr>
          <w:ilvl w:val="0"/>
          <w:numId w:val="12"/>
        </w:numPr>
        <w:rPr>
          <w:rFonts w:ascii="Arial" w:hAnsi="Arial" w:cs="Arial"/>
          <w:b/>
        </w:rPr>
      </w:pPr>
      <w:r w:rsidRPr="00BA3D7A">
        <w:rPr>
          <w:rFonts w:ascii="Arial" w:hAnsi="Arial" w:cs="Arial"/>
          <w:b/>
        </w:rPr>
        <w:t xml:space="preserve">Community investment </w:t>
      </w:r>
      <w:r w:rsidRPr="00BA3D7A">
        <w:rPr>
          <w:rFonts w:ascii="Arial" w:hAnsi="Arial" w:cs="Arial"/>
        </w:rPr>
        <w:br/>
        <w:t>22% weighting</w:t>
      </w:r>
      <w:r>
        <w:rPr>
          <w:rFonts w:ascii="Arial" w:hAnsi="Arial" w:cs="Arial"/>
        </w:rPr>
        <w:t xml:space="preserve"> within this category</w:t>
      </w:r>
    </w:p>
    <w:p w:rsidR="0046364A" w:rsidRPr="00BA3D7A" w:rsidRDefault="0046364A" w:rsidP="00AC70F4">
      <w:pPr>
        <w:pStyle w:val="Bullet1"/>
        <w:numPr>
          <w:ilvl w:val="0"/>
          <w:numId w:val="12"/>
        </w:numPr>
        <w:rPr>
          <w:rFonts w:ascii="Arial" w:hAnsi="Arial" w:cs="Arial"/>
          <w:b/>
        </w:rPr>
      </w:pPr>
      <w:r w:rsidRPr="00BA3D7A">
        <w:rPr>
          <w:rFonts w:ascii="Arial" w:hAnsi="Arial" w:cs="Arial"/>
          <w:b/>
        </w:rPr>
        <w:t xml:space="preserve">Sustainable development </w:t>
      </w:r>
      <w:r w:rsidRPr="00BA3D7A">
        <w:rPr>
          <w:rFonts w:ascii="Arial" w:hAnsi="Arial" w:cs="Arial"/>
          <w:b/>
        </w:rPr>
        <w:br/>
      </w:r>
      <w:r w:rsidRPr="00BA3D7A">
        <w:rPr>
          <w:rFonts w:ascii="Arial" w:hAnsi="Arial" w:cs="Arial"/>
        </w:rPr>
        <w:t>34% weighting</w:t>
      </w:r>
    </w:p>
    <w:p w:rsidR="0046364A" w:rsidRPr="00BA3D7A" w:rsidRDefault="0046364A" w:rsidP="00AC70F4">
      <w:pPr>
        <w:pStyle w:val="Bullet1"/>
        <w:numPr>
          <w:ilvl w:val="0"/>
          <w:numId w:val="12"/>
        </w:numPr>
        <w:spacing w:after="240"/>
        <w:rPr>
          <w:rFonts w:ascii="Arial" w:hAnsi="Arial" w:cs="Arial"/>
          <w:b/>
        </w:rPr>
      </w:pPr>
      <w:r w:rsidRPr="00BA3D7A">
        <w:rPr>
          <w:rFonts w:ascii="Arial" w:hAnsi="Arial" w:cs="Arial"/>
          <w:b/>
        </w:rPr>
        <w:t xml:space="preserve">People </w:t>
      </w:r>
      <w:r w:rsidRPr="00BA3D7A">
        <w:rPr>
          <w:rFonts w:ascii="Arial" w:hAnsi="Arial" w:cs="Arial"/>
          <w:b/>
        </w:rPr>
        <w:br/>
      </w:r>
      <w:r w:rsidRPr="00BA3D7A">
        <w:rPr>
          <w:rFonts w:ascii="Arial" w:hAnsi="Arial" w:cs="Arial"/>
        </w:rPr>
        <w:t>44% weighting</w:t>
      </w:r>
    </w:p>
    <w:p w:rsidR="0046364A" w:rsidRPr="00BA3D7A" w:rsidRDefault="0046364A" w:rsidP="0046364A">
      <w:pPr>
        <w:pStyle w:val="Body"/>
        <w:rPr>
          <w:rFonts w:ascii="Arial" w:hAnsi="Arial" w:cs="Arial"/>
        </w:rPr>
      </w:pPr>
    </w:p>
    <w:p w:rsidR="0046364A" w:rsidRPr="00BA3D7A" w:rsidRDefault="0046364A" w:rsidP="0046364A">
      <w:pPr>
        <w:pStyle w:val="Body"/>
        <w:rPr>
          <w:rFonts w:ascii="Arial" w:hAnsi="Arial" w:cs="Arial"/>
        </w:rPr>
      </w:pPr>
    </w:p>
    <w:p w:rsidR="0046364A" w:rsidRPr="00BA3D7A" w:rsidRDefault="0046364A" w:rsidP="0046364A">
      <w:pPr>
        <w:pStyle w:val="Body"/>
        <w:spacing w:after="120"/>
        <w:rPr>
          <w:rFonts w:ascii="Arial" w:hAnsi="Arial" w:cs="Arial"/>
          <w:lang w:val="en-GB"/>
        </w:rPr>
      </w:pPr>
      <w:r>
        <w:rPr>
          <w:rFonts w:ascii="Arial" w:hAnsi="Arial" w:cs="Arial"/>
          <w:lang w:val="en-GB"/>
        </w:rPr>
        <w:t xml:space="preserve">Some examples of the </w:t>
      </w:r>
      <w:r w:rsidRPr="00BA3D7A">
        <w:rPr>
          <w:rFonts w:ascii="Arial" w:hAnsi="Arial" w:cs="Arial"/>
          <w:lang w:val="en-GB"/>
        </w:rPr>
        <w:t xml:space="preserve">elements </w:t>
      </w:r>
      <w:r>
        <w:rPr>
          <w:rFonts w:ascii="Arial" w:hAnsi="Arial" w:cs="Arial"/>
          <w:lang w:val="en-GB"/>
        </w:rPr>
        <w:t>used in this category are</w:t>
      </w:r>
      <w:r w:rsidRPr="00BA3D7A">
        <w:rPr>
          <w:rFonts w:ascii="Arial" w:hAnsi="Arial" w:cs="Arial"/>
          <w:lang w:val="en-GB"/>
        </w:rPr>
        <w:t xml:space="preserve"> described in more detail below.</w:t>
      </w:r>
    </w:p>
    <w:p w:rsidR="0046364A" w:rsidRPr="00BA3D7A" w:rsidRDefault="0046364A" w:rsidP="00AC70F4">
      <w:pPr>
        <w:pStyle w:val="Numbered"/>
        <w:numPr>
          <w:ilvl w:val="0"/>
          <w:numId w:val="5"/>
        </w:numPr>
        <w:ind w:left="540" w:hanging="540"/>
        <w:rPr>
          <w:rFonts w:ascii="Arial" w:hAnsi="Arial" w:cs="Arial"/>
        </w:rPr>
      </w:pPr>
      <w:r w:rsidRPr="00BA3D7A">
        <w:rPr>
          <w:rFonts w:ascii="Arial" w:hAnsi="Arial" w:cs="Arial"/>
          <w:b/>
        </w:rPr>
        <w:t>Community Investment</w:t>
      </w:r>
      <w:r w:rsidRPr="00BA3D7A">
        <w:rPr>
          <w:rFonts w:ascii="Arial" w:hAnsi="Arial" w:cs="Arial"/>
          <w:b/>
        </w:rPr>
        <w:br/>
      </w:r>
      <w:r w:rsidRPr="00BA3D7A">
        <w:rPr>
          <w:rFonts w:ascii="Arial" w:hAnsi="Arial" w:cs="Arial"/>
        </w:rPr>
        <w:t xml:space="preserve">The company as “good citizen” and neighbour. </w:t>
      </w:r>
    </w:p>
    <w:p w:rsidR="0046364A" w:rsidRPr="00BA3D7A" w:rsidRDefault="0046364A" w:rsidP="00AC70F4">
      <w:pPr>
        <w:pStyle w:val="Bullet1"/>
        <w:numPr>
          <w:ilvl w:val="0"/>
          <w:numId w:val="13"/>
        </w:numPr>
        <w:jc w:val="both"/>
        <w:rPr>
          <w:rFonts w:ascii="Arial" w:hAnsi="Arial" w:cs="Arial"/>
        </w:rPr>
      </w:pPr>
      <w:r w:rsidRPr="00BA3D7A">
        <w:rPr>
          <w:rFonts w:ascii="Arial" w:hAnsi="Arial" w:cs="Arial"/>
        </w:rPr>
        <w:t xml:space="preserve">‘Employment rate’ seeks to assess the contribution of the company in the community by correlating business growth to change in employment rates. Our formula can only suggest a connection between the two values but gives an indication of how the companies consider their employees, i.e. either as a fundamental part of the business or the first area where costs can be cut in difficult market situations. This relates to salary issues below. </w:t>
      </w:r>
    </w:p>
    <w:p w:rsidR="0046364A" w:rsidRPr="00BA3D7A" w:rsidRDefault="0046364A" w:rsidP="00AC70F4">
      <w:pPr>
        <w:pStyle w:val="Bullet1"/>
        <w:numPr>
          <w:ilvl w:val="0"/>
          <w:numId w:val="13"/>
        </w:numPr>
        <w:rPr>
          <w:rFonts w:ascii="Arial" w:hAnsi="Arial" w:cs="Arial"/>
        </w:rPr>
      </w:pPr>
      <w:r w:rsidRPr="00BA3D7A">
        <w:rPr>
          <w:rFonts w:ascii="Arial" w:hAnsi="Arial" w:cs="Arial"/>
        </w:rPr>
        <w:t xml:space="preserve">Social Investments and charitable donations (including, where at all possible management costs and time) relative to revenues. </w:t>
      </w:r>
    </w:p>
    <w:p w:rsidR="0046364A" w:rsidRPr="00BA3D7A" w:rsidRDefault="0046364A" w:rsidP="00AC70F4">
      <w:pPr>
        <w:pStyle w:val="Bullet1"/>
        <w:numPr>
          <w:ilvl w:val="0"/>
          <w:numId w:val="13"/>
        </w:numPr>
        <w:rPr>
          <w:rFonts w:ascii="Arial" w:hAnsi="Arial" w:cs="Arial"/>
        </w:rPr>
      </w:pPr>
      <w:r w:rsidRPr="00BA3D7A">
        <w:rPr>
          <w:rFonts w:ascii="Arial" w:hAnsi="Arial" w:cs="Arial"/>
        </w:rPr>
        <w:t>Human rights adherence – where reported on.</w:t>
      </w:r>
    </w:p>
    <w:p w:rsidR="0046364A" w:rsidRDefault="0046364A" w:rsidP="0046364A">
      <w:pPr>
        <w:pStyle w:val="Numbered"/>
        <w:spacing w:after="120"/>
        <w:ind w:left="547" w:hanging="547"/>
        <w:rPr>
          <w:rFonts w:ascii="Arial" w:hAnsi="Arial" w:cs="Arial"/>
        </w:rPr>
      </w:pPr>
      <w:r w:rsidRPr="00BA3D7A">
        <w:rPr>
          <w:rFonts w:ascii="Arial" w:hAnsi="Arial" w:cs="Arial"/>
          <w:b/>
        </w:rPr>
        <w:t>Sustainable Development</w:t>
      </w:r>
      <w:r w:rsidRPr="00BA3D7A">
        <w:rPr>
          <w:rFonts w:ascii="Arial" w:hAnsi="Arial" w:cs="Arial"/>
        </w:rPr>
        <w:br/>
        <w:t>The company in the ‘Age of Responsibility’ with a long term view.</w:t>
      </w:r>
    </w:p>
    <w:p w:rsidR="0046364A" w:rsidRDefault="0046364A" w:rsidP="0066479A">
      <w:pPr>
        <w:pStyle w:val="Numbered"/>
        <w:numPr>
          <w:ilvl w:val="0"/>
          <w:numId w:val="0"/>
        </w:numPr>
        <w:spacing w:after="120"/>
        <w:ind w:left="547"/>
        <w:jc w:val="both"/>
        <w:rPr>
          <w:rFonts w:ascii="Arial" w:hAnsi="Arial" w:cs="Arial"/>
        </w:rPr>
      </w:pPr>
      <w:r w:rsidRPr="00E6760C">
        <w:rPr>
          <w:rFonts w:ascii="Arial" w:hAnsi="Arial" w:cs="Arial"/>
        </w:rPr>
        <w:t>The sustainability of products and services is now critical. This is not just a marketing strategy, but good environmental practices can also deliver cost savings thanks to efficiencies in the usage of materials. Climate change has increased the focus on this component of ethical business. Unfortunately, most of the data available only relates to environmental matters (which have been weighted as follows):</w:t>
      </w:r>
    </w:p>
    <w:p w:rsidR="0050728E" w:rsidRPr="00E6760C" w:rsidRDefault="0050728E" w:rsidP="0046364A">
      <w:pPr>
        <w:pStyle w:val="Numbered"/>
        <w:numPr>
          <w:ilvl w:val="0"/>
          <w:numId w:val="0"/>
        </w:numPr>
        <w:spacing w:after="120"/>
        <w:ind w:left="547"/>
        <w:rPr>
          <w:rFonts w:ascii="Arial" w:hAnsi="Arial" w:cs="Arial"/>
        </w:rPr>
      </w:pPr>
    </w:p>
    <w:tbl>
      <w:tblPr>
        <w:tblW w:w="0" w:type="auto"/>
        <w:jc w:val="center"/>
        <w:tblInd w:w="1526" w:type="dxa"/>
        <w:tblLook w:val="04A0"/>
      </w:tblPr>
      <w:tblGrid>
        <w:gridCol w:w="5520"/>
        <w:gridCol w:w="637"/>
      </w:tblGrid>
      <w:tr w:rsidR="0050728E" w:rsidRPr="00AC70F4" w:rsidTr="00AC70F4">
        <w:trPr>
          <w:jc w:val="center"/>
        </w:trPr>
        <w:tc>
          <w:tcPr>
            <w:tcW w:w="5520"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Co</w:t>
            </w:r>
            <w:r w:rsidRPr="00AC70F4">
              <w:rPr>
                <w:rFonts w:ascii="Arial" w:hAnsi="Arial" w:cs="Arial"/>
                <w:vertAlign w:val="subscript"/>
                <w:lang w:val="en-GB"/>
              </w:rPr>
              <w:t xml:space="preserve">2 </w:t>
            </w:r>
            <w:r w:rsidRPr="00AC70F4">
              <w:rPr>
                <w:rFonts w:ascii="Arial" w:hAnsi="Arial" w:cs="Arial"/>
                <w:lang w:val="en-GB"/>
              </w:rPr>
              <w:t>Emissions...................................................................</w:t>
            </w:r>
          </w:p>
        </w:tc>
        <w:tc>
          <w:tcPr>
            <w:tcW w:w="637"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8%</w:t>
            </w:r>
          </w:p>
        </w:tc>
      </w:tr>
      <w:tr w:rsidR="0050728E" w:rsidRPr="00AC70F4" w:rsidTr="00AC70F4">
        <w:trPr>
          <w:jc w:val="center"/>
        </w:trPr>
        <w:tc>
          <w:tcPr>
            <w:tcW w:w="5520"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Renewable Energy Usage.................................................</w:t>
            </w:r>
          </w:p>
        </w:tc>
        <w:tc>
          <w:tcPr>
            <w:tcW w:w="637"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5%</w:t>
            </w:r>
          </w:p>
        </w:tc>
      </w:tr>
      <w:tr w:rsidR="0050728E" w:rsidRPr="00AC70F4" w:rsidTr="00AC70F4">
        <w:trPr>
          <w:jc w:val="center"/>
        </w:trPr>
        <w:tc>
          <w:tcPr>
            <w:tcW w:w="5520"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Total Energy Usage..........................................................</w:t>
            </w:r>
          </w:p>
        </w:tc>
        <w:tc>
          <w:tcPr>
            <w:tcW w:w="637"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8%</w:t>
            </w:r>
          </w:p>
        </w:tc>
      </w:tr>
      <w:tr w:rsidR="0050728E" w:rsidRPr="00AC70F4" w:rsidTr="00AC70F4">
        <w:trPr>
          <w:jc w:val="center"/>
        </w:trPr>
        <w:tc>
          <w:tcPr>
            <w:tcW w:w="5520"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Water Consumption...........................................................</w:t>
            </w:r>
          </w:p>
        </w:tc>
        <w:tc>
          <w:tcPr>
            <w:tcW w:w="637"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3%</w:t>
            </w:r>
          </w:p>
        </w:tc>
      </w:tr>
      <w:tr w:rsidR="0050728E" w:rsidRPr="00AC70F4" w:rsidTr="00AC70F4">
        <w:trPr>
          <w:jc w:val="center"/>
        </w:trPr>
        <w:tc>
          <w:tcPr>
            <w:tcW w:w="5520"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Waste Production..............................................................</w:t>
            </w:r>
          </w:p>
        </w:tc>
        <w:tc>
          <w:tcPr>
            <w:tcW w:w="637"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4%</w:t>
            </w:r>
          </w:p>
        </w:tc>
      </w:tr>
      <w:tr w:rsidR="0050728E" w:rsidRPr="00AC70F4" w:rsidTr="00AC70F4">
        <w:trPr>
          <w:jc w:val="center"/>
        </w:trPr>
        <w:tc>
          <w:tcPr>
            <w:tcW w:w="5520"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Waste Recycling................................................................</w:t>
            </w:r>
          </w:p>
        </w:tc>
        <w:tc>
          <w:tcPr>
            <w:tcW w:w="637" w:type="dxa"/>
          </w:tcPr>
          <w:p w:rsidR="0050728E" w:rsidRPr="00AC70F4" w:rsidRDefault="0050728E" w:rsidP="00AC70F4">
            <w:pPr>
              <w:pStyle w:val="Body"/>
              <w:tabs>
                <w:tab w:val="right" w:leader="dot" w:pos="5760"/>
              </w:tabs>
              <w:spacing w:after="100" w:afterAutospacing="1" w:line="240" w:lineRule="auto"/>
              <w:rPr>
                <w:rFonts w:ascii="Arial" w:hAnsi="Arial" w:cs="Arial"/>
                <w:lang w:val="en-GB"/>
              </w:rPr>
            </w:pPr>
            <w:r w:rsidRPr="00AC70F4">
              <w:rPr>
                <w:rFonts w:ascii="Arial" w:hAnsi="Arial" w:cs="Arial"/>
                <w:lang w:val="en-GB"/>
              </w:rPr>
              <w:t>6%</w:t>
            </w:r>
          </w:p>
        </w:tc>
      </w:tr>
      <w:tr w:rsidR="0050728E" w:rsidRPr="00AC70F4" w:rsidTr="00AC70F4">
        <w:trPr>
          <w:jc w:val="center"/>
        </w:trPr>
        <w:tc>
          <w:tcPr>
            <w:tcW w:w="5520" w:type="dxa"/>
          </w:tcPr>
          <w:p w:rsidR="0050728E" w:rsidRPr="00AC70F4" w:rsidRDefault="0050728E" w:rsidP="00AC70F4">
            <w:pPr>
              <w:pStyle w:val="Body"/>
              <w:tabs>
                <w:tab w:val="right" w:leader="dot" w:pos="5760"/>
              </w:tabs>
              <w:spacing w:after="100" w:afterAutospacing="1" w:line="240" w:lineRule="auto"/>
              <w:jc w:val="right"/>
              <w:rPr>
                <w:rFonts w:ascii="Arial" w:hAnsi="Arial" w:cs="Arial"/>
                <w:b/>
                <w:lang w:val="en-GB"/>
              </w:rPr>
            </w:pPr>
            <w:r w:rsidRPr="00AC70F4">
              <w:rPr>
                <w:rFonts w:ascii="Arial" w:hAnsi="Arial" w:cs="Arial"/>
                <w:b/>
                <w:lang w:val="en-GB"/>
              </w:rPr>
              <w:t>Total</w:t>
            </w:r>
          </w:p>
        </w:tc>
        <w:tc>
          <w:tcPr>
            <w:tcW w:w="637" w:type="dxa"/>
          </w:tcPr>
          <w:p w:rsidR="0050728E" w:rsidRPr="00AC70F4" w:rsidRDefault="0050728E" w:rsidP="00AC70F4">
            <w:pPr>
              <w:pStyle w:val="Body"/>
              <w:tabs>
                <w:tab w:val="right" w:leader="dot" w:pos="5760"/>
              </w:tabs>
              <w:spacing w:after="100" w:afterAutospacing="1" w:line="240" w:lineRule="auto"/>
              <w:rPr>
                <w:rFonts w:ascii="Arial" w:hAnsi="Arial" w:cs="Arial"/>
                <w:b/>
                <w:lang w:val="en-GB"/>
              </w:rPr>
            </w:pPr>
            <w:r w:rsidRPr="00AC70F4">
              <w:rPr>
                <w:rFonts w:ascii="Arial" w:hAnsi="Arial" w:cs="Arial"/>
                <w:b/>
                <w:lang w:val="en-GB"/>
              </w:rPr>
              <w:t>34%</w:t>
            </w:r>
          </w:p>
        </w:tc>
      </w:tr>
    </w:tbl>
    <w:p w:rsidR="0050728E" w:rsidRPr="00BA3D7A" w:rsidRDefault="0050728E" w:rsidP="0046364A">
      <w:pPr>
        <w:pStyle w:val="Body"/>
        <w:tabs>
          <w:tab w:val="right" w:leader="dot" w:pos="5760"/>
        </w:tabs>
        <w:spacing w:after="100" w:afterAutospacing="1" w:line="240" w:lineRule="auto"/>
        <w:ind w:left="1985"/>
        <w:rPr>
          <w:rFonts w:ascii="Arial" w:hAnsi="Arial" w:cs="Arial"/>
          <w:lang w:val="en-GB"/>
        </w:rPr>
      </w:pPr>
    </w:p>
    <w:p w:rsidR="0046364A" w:rsidRPr="00BA3D7A" w:rsidRDefault="0046364A" w:rsidP="0066479A">
      <w:pPr>
        <w:pStyle w:val="Numbered"/>
        <w:jc w:val="both"/>
        <w:rPr>
          <w:rFonts w:ascii="Arial" w:hAnsi="Arial" w:cs="Arial"/>
        </w:rPr>
      </w:pPr>
      <w:r w:rsidRPr="00BA3D7A">
        <w:rPr>
          <w:rFonts w:ascii="Arial" w:hAnsi="Arial" w:cs="Arial"/>
          <w:b/>
        </w:rPr>
        <w:t>People</w:t>
      </w:r>
      <w:r w:rsidRPr="00BA3D7A">
        <w:rPr>
          <w:rFonts w:ascii="Arial" w:hAnsi="Arial" w:cs="Arial"/>
        </w:rPr>
        <w:br/>
        <w:t xml:space="preserve">The </w:t>
      </w:r>
      <w:r w:rsidR="0066479A">
        <w:rPr>
          <w:rFonts w:ascii="Arial" w:hAnsi="Arial" w:cs="Arial"/>
        </w:rPr>
        <w:t>c</w:t>
      </w:r>
      <w:r w:rsidR="0066479A" w:rsidRPr="00BA3D7A">
        <w:rPr>
          <w:rFonts w:ascii="Arial" w:hAnsi="Arial" w:cs="Arial"/>
        </w:rPr>
        <w:t>ompany</w:t>
      </w:r>
      <w:r w:rsidRPr="00BA3D7A">
        <w:rPr>
          <w:rFonts w:ascii="Arial" w:hAnsi="Arial" w:cs="Arial"/>
        </w:rPr>
        <w:t xml:space="preserve"> as an equitable and committed employer. This compares CEO and NED salaries/bonuses with the average employee salary/bonus and relates changes in employee remuneration to changes in company revenue. This helps to clarify the community investment alignment above and is also linked to pension and social security contributions.</w:t>
      </w:r>
    </w:p>
    <w:p w:rsidR="0046364A" w:rsidRPr="006A69CF" w:rsidRDefault="00432EA1" w:rsidP="0046364A">
      <w:pPr>
        <w:pStyle w:val="Head2"/>
        <w:rPr>
          <w:rFonts w:ascii="Arial" w:hAnsi="Arial" w:cs="Arial"/>
          <w:b/>
          <w:color w:val="C00000"/>
        </w:rPr>
      </w:pPr>
      <w:bookmarkStart w:id="7" w:name="_Toc273454144"/>
      <w:r w:rsidRPr="006A69CF">
        <w:rPr>
          <w:rFonts w:ascii="Arial" w:hAnsi="Arial" w:cs="Arial"/>
          <w:b/>
          <w:color w:val="C00000"/>
        </w:rPr>
        <w:lastRenderedPageBreak/>
        <w:t>3</w:t>
      </w:r>
      <w:r w:rsidR="0046364A" w:rsidRPr="006A69CF">
        <w:rPr>
          <w:rFonts w:ascii="Arial" w:hAnsi="Arial" w:cs="Arial"/>
          <w:b/>
          <w:color w:val="C00000"/>
        </w:rPr>
        <w:t>.4  Additional Credit / Plus Mark</w:t>
      </w:r>
      <w:bookmarkEnd w:id="7"/>
    </w:p>
    <w:p w:rsidR="0046364A" w:rsidRPr="00BA3D7A" w:rsidRDefault="0046364A" w:rsidP="0046364A">
      <w:pPr>
        <w:pStyle w:val="Body"/>
        <w:rPr>
          <w:rFonts w:ascii="Arial" w:hAnsi="Arial" w:cs="Arial"/>
          <w:lang w:val="en-GB"/>
        </w:rPr>
      </w:pPr>
      <w:r w:rsidRPr="00BA3D7A">
        <w:rPr>
          <w:rFonts w:ascii="Arial" w:hAnsi="Arial" w:cs="Arial"/>
          <w:lang w:val="en-GB"/>
        </w:rPr>
        <w:t>Additional credit is given for</w:t>
      </w:r>
      <w:r>
        <w:rPr>
          <w:rFonts w:ascii="Arial" w:hAnsi="Arial" w:cs="Arial"/>
          <w:lang w:val="en-GB"/>
        </w:rPr>
        <w:t xml:space="preserve"> being open and</w:t>
      </w:r>
      <w:r w:rsidRPr="00BA3D7A">
        <w:rPr>
          <w:rFonts w:ascii="Arial" w:hAnsi="Arial" w:cs="Arial"/>
          <w:lang w:val="en-GB"/>
        </w:rPr>
        <w:t xml:space="preserve"> having an internal Code of Ethics and Code of Conduct, although it should be noted that this does not necessarily indicate an embedded ethical culture. It should also be noted that openness to using external evaluation schemes and/or assurance gains extra credit.</w:t>
      </w:r>
    </w:p>
    <w:p w:rsidR="0046364A" w:rsidRPr="006A69CF" w:rsidRDefault="0046364A" w:rsidP="0046364A">
      <w:pPr>
        <w:pStyle w:val="Body"/>
        <w:rPr>
          <w:rFonts w:ascii="Arial" w:hAnsi="Arial" w:cs="Arial"/>
          <w:b/>
          <w:lang w:val="en-GB"/>
        </w:rPr>
      </w:pPr>
    </w:p>
    <w:p w:rsidR="0046364A" w:rsidRPr="006A69CF" w:rsidRDefault="00432EA1" w:rsidP="0046364A">
      <w:pPr>
        <w:pStyle w:val="Head2"/>
        <w:rPr>
          <w:rFonts w:ascii="Arial" w:hAnsi="Arial" w:cs="Arial"/>
          <w:b/>
          <w:color w:val="C00000"/>
        </w:rPr>
      </w:pPr>
      <w:bookmarkStart w:id="8" w:name="_Toc273454145"/>
      <w:r w:rsidRPr="006A69CF">
        <w:rPr>
          <w:rFonts w:ascii="Arial" w:hAnsi="Arial" w:cs="Arial"/>
          <w:b/>
          <w:color w:val="C00000"/>
        </w:rPr>
        <w:t>3</w:t>
      </w:r>
      <w:r w:rsidR="0046364A" w:rsidRPr="006A69CF">
        <w:rPr>
          <w:rFonts w:ascii="Arial" w:hAnsi="Arial" w:cs="Arial"/>
          <w:b/>
          <w:color w:val="C00000"/>
        </w:rPr>
        <w:t>.5</w:t>
      </w:r>
      <w:r w:rsidR="00FE376B" w:rsidRPr="006A69CF">
        <w:rPr>
          <w:rFonts w:ascii="Arial" w:hAnsi="Arial" w:cs="Arial"/>
          <w:b/>
          <w:color w:val="C00000"/>
        </w:rPr>
        <w:t xml:space="preserve"> </w:t>
      </w:r>
      <w:r w:rsidR="0046364A" w:rsidRPr="006A69CF">
        <w:rPr>
          <w:rFonts w:ascii="Arial" w:hAnsi="Arial" w:cs="Arial"/>
          <w:b/>
          <w:color w:val="C00000"/>
        </w:rPr>
        <w:t xml:space="preserve"> Final Calculation of the RGI</w:t>
      </w:r>
      <w:bookmarkEnd w:id="8"/>
    </w:p>
    <w:p w:rsidR="0046364A" w:rsidRDefault="0046364A" w:rsidP="0046364A">
      <w:pPr>
        <w:pStyle w:val="Body"/>
        <w:rPr>
          <w:rFonts w:ascii="Arial" w:hAnsi="Arial" w:cs="Arial"/>
          <w:lang w:val="en-GB"/>
        </w:rPr>
      </w:pPr>
      <w:r w:rsidRPr="00BA3D7A">
        <w:rPr>
          <w:rFonts w:ascii="Arial" w:hAnsi="Arial" w:cs="Arial"/>
          <w:lang w:val="en-GB"/>
        </w:rPr>
        <w:t>By combining the scores for each element a company is given a rating for each dimension from A to E. Where there is insufficient information to rate a company for an individual element they are awarded an F. The scores, once calculated, are combined into the RGI enabling the companies to be ranked.  The weightings used to produce the final index are as follows:</w:t>
      </w:r>
    </w:p>
    <w:p w:rsidR="004D3F4B" w:rsidRPr="00BA3D7A" w:rsidRDefault="004D3F4B" w:rsidP="0046364A">
      <w:pPr>
        <w:pStyle w:val="Body"/>
        <w:rPr>
          <w:rFonts w:ascii="Arial" w:hAnsi="Arial" w:cs="Arial"/>
          <w:lang w:val="en-GB"/>
        </w:rPr>
      </w:pPr>
    </w:p>
    <w:tbl>
      <w:tblPr>
        <w:tblW w:w="0" w:type="auto"/>
        <w:jc w:val="center"/>
        <w:tblInd w:w="540" w:type="dxa"/>
        <w:tblLook w:val="04A0"/>
      </w:tblPr>
      <w:tblGrid>
        <w:gridCol w:w="4860"/>
        <w:gridCol w:w="929"/>
      </w:tblGrid>
      <w:tr w:rsidR="004D3F4B" w:rsidRPr="00AC70F4" w:rsidTr="00AC70F4">
        <w:trPr>
          <w:jc w:val="center"/>
        </w:trPr>
        <w:tc>
          <w:tcPr>
            <w:tcW w:w="4860" w:type="dxa"/>
          </w:tcPr>
          <w:p w:rsidR="004D3F4B" w:rsidRPr="00AC70F4" w:rsidRDefault="004D3F4B" w:rsidP="00AC70F4">
            <w:pPr>
              <w:pStyle w:val="Numbered"/>
              <w:numPr>
                <w:ilvl w:val="0"/>
                <w:numId w:val="0"/>
              </w:numPr>
              <w:spacing w:after="0" w:line="360" w:lineRule="auto"/>
              <w:jc w:val="both"/>
              <w:rPr>
                <w:rFonts w:ascii="Arial" w:hAnsi="Arial" w:cs="Arial"/>
                <w:b/>
                <w:lang w:val="en-US"/>
              </w:rPr>
            </w:pPr>
            <w:r w:rsidRPr="00AC70F4">
              <w:rPr>
                <w:rFonts w:ascii="Arial" w:hAnsi="Arial" w:cs="Arial"/>
                <w:b/>
                <w:lang w:val="en-US"/>
              </w:rPr>
              <w:t>Compliance………………………………………….</w:t>
            </w:r>
          </w:p>
        </w:tc>
        <w:tc>
          <w:tcPr>
            <w:tcW w:w="929" w:type="dxa"/>
          </w:tcPr>
          <w:p w:rsidR="004D3F4B" w:rsidRPr="00AC70F4" w:rsidRDefault="004D3F4B" w:rsidP="00AC70F4">
            <w:pPr>
              <w:pStyle w:val="Numbered"/>
              <w:numPr>
                <w:ilvl w:val="0"/>
                <w:numId w:val="0"/>
              </w:numPr>
              <w:spacing w:after="0" w:line="360" w:lineRule="auto"/>
              <w:jc w:val="both"/>
              <w:rPr>
                <w:rFonts w:ascii="Arial" w:hAnsi="Arial" w:cs="Arial"/>
                <w:b/>
                <w:lang w:val="en-US"/>
              </w:rPr>
            </w:pPr>
            <w:r w:rsidRPr="00AC70F4">
              <w:rPr>
                <w:rFonts w:ascii="Arial" w:hAnsi="Arial" w:cs="Arial"/>
                <w:b/>
                <w:lang w:val="en-US"/>
              </w:rPr>
              <w:t>25%</w:t>
            </w:r>
          </w:p>
        </w:tc>
      </w:tr>
      <w:tr w:rsidR="004D3F4B" w:rsidRPr="00AC70F4" w:rsidTr="00AC70F4">
        <w:trPr>
          <w:jc w:val="center"/>
        </w:trPr>
        <w:tc>
          <w:tcPr>
            <w:tcW w:w="4860" w:type="dxa"/>
          </w:tcPr>
          <w:p w:rsidR="004D3F4B" w:rsidRPr="00AC70F4" w:rsidRDefault="004D3F4B" w:rsidP="00AC70F4">
            <w:pPr>
              <w:pStyle w:val="Numbered"/>
              <w:numPr>
                <w:ilvl w:val="0"/>
                <w:numId w:val="0"/>
              </w:numPr>
              <w:spacing w:after="0" w:line="360" w:lineRule="auto"/>
              <w:jc w:val="both"/>
              <w:rPr>
                <w:rFonts w:ascii="Arial" w:hAnsi="Arial" w:cs="Arial"/>
                <w:b/>
                <w:lang w:val="en-US"/>
              </w:rPr>
            </w:pPr>
            <w:r w:rsidRPr="00AC70F4">
              <w:rPr>
                <w:rFonts w:ascii="Arial" w:hAnsi="Arial" w:cs="Arial"/>
                <w:b/>
                <w:lang w:val="en-US"/>
              </w:rPr>
              <w:t>Capacity……………………………………………...</w:t>
            </w:r>
          </w:p>
        </w:tc>
        <w:tc>
          <w:tcPr>
            <w:tcW w:w="929" w:type="dxa"/>
          </w:tcPr>
          <w:p w:rsidR="004D3F4B" w:rsidRPr="00AC70F4" w:rsidRDefault="004D3F4B" w:rsidP="00AC70F4">
            <w:pPr>
              <w:pStyle w:val="Numbered"/>
              <w:numPr>
                <w:ilvl w:val="0"/>
                <w:numId w:val="0"/>
              </w:numPr>
              <w:spacing w:after="0" w:line="360" w:lineRule="auto"/>
              <w:jc w:val="both"/>
              <w:rPr>
                <w:rFonts w:ascii="Arial" w:hAnsi="Arial" w:cs="Arial"/>
                <w:b/>
                <w:lang w:val="en-US"/>
              </w:rPr>
            </w:pPr>
            <w:r w:rsidRPr="00AC70F4">
              <w:rPr>
                <w:rFonts w:ascii="Arial" w:hAnsi="Arial" w:cs="Arial"/>
                <w:b/>
                <w:lang w:val="en-US"/>
              </w:rPr>
              <w:t>38%</w:t>
            </w:r>
          </w:p>
        </w:tc>
      </w:tr>
      <w:tr w:rsidR="004D3F4B" w:rsidRPr="00AC70F4" w:rsidTr="00AC70F4">
        <w:trPr>
          <w:jc w:val="center"/>
        </w:trPr>
        <w:tc>
          <w:tcPr>
            <w:tcW w:w="4860" w:type="dxa"/>
          </w:tcPr>
          <w:p w:rsidR="004D3F4B" w:rsidRPr="00AC70F4" w:rsidRDefault="004D3F4B" w:rsidP="00AC70F4">
            <w:pPr>
              <w:pStyle w:val="Numbered"/>
              <w:numPr>
                <w:ilvl w:val="0"/>
                <w:numId w:val="0"/>
              </w:numPr>
              <w:spacing w:after="0" w:line="360" w:lineRule="auto"/>
              <w:jc w:val="both"/>
              <w:rPr>
                <w:rFonts w:ascii="Arial" w:hAnsi="Arial" w:cs="Arial"/>
                <w:b/>
                <w:lang w:val="en-US"/>
              </w:rPr>
            </w:pPr>
            <w:r w:rsidRPr="00AC70F4">
              <w:rPr>
                <w:rFonts w:ascii="Arial" w:hAnsi="Arial" w:cs="Arial"/>
                <w:b/>
                <w:lang w:val="en-US"/>
              </w:rPr>
              <w:t>Commitment…………………………………………</w:t>
            </w:r>
          </w:p>
        </w:tc>
        <w:tc>
          <w:tcPr>
            <w:tcW w:w="929" w:type="dxa"/>
          </w:tcPr>
          <w:p w:rsidR="004D3F4B" w:rsidRPr="00AC70F4" w:rsidRDefault="004D3F4B" w:rsidP="00AC70F4">
            <w:pPr>
              <w:pStyle w:val="Numbered"/>
              <w:numPr>
                <w:ilvl w:val="0"/>
                <w:numId w:val="0"/>
              </w:numPr>
              <w:spacing w:after="0" w:line="360" w:lineRule="auto"/>
              <w:jc w:val="both"/>
              <w:rPr>
                <w:rFonts w:ascii="Arial" w:hAnsi="Arial" w:cs="Arial"/>
                <w:b/>
                <w:lang w:val="en-US"/>
              </w:rPr>
            </w:pPr>
            <w:r w:rsidRPr="00AC70F4">
              <w:rPr>
                <w:rFonts w:ascii="Arial" w:hAnsi="Arial" w:cs="Arial"/>
                <w:b/>
                <w:lang w:val="en-US"/>
              </w:rPr>
              <w:t>32%</w:t>
            </w:r>
          </w:p>
        </w:tc>
      </w:tr>
      <w:tr w:rsidR="004D3F4B" w:rsidRPr="00AC70F4" w:rsidTr="00AC70F4">
        <w:trPr>
          <w:jc w:val="center"/>
        </w:trPr>
        <w:tc>
          <w:tcPr>
            <w:tcW w:w="4860" w:type="dxa"/>
          </w:tcPr>
          <w:p w:rsidR="004D3F4B" w:rsidRPr="00AC70F4" w:rsidRDefault="004D3F4B" w:rsidP="00AC70F4">
            <w:pPr>
              <w:pStyle w:val="Numbered"/>
              <w:numPr>
                <w:ilvl w:val="0"/>
                <w:numId w:val="0"/>
              </w:numPr>
              <w:spacing w:after="0" w:line="360" w:lineRule="auto"/>
              <w:jc w:val="both"/>
              <w:rPr>
                <w:rFonts w:ascii="Arial" w:hAnsi="Arial" w:cs="Arial"/>
                <w:b/>
                <w:lang w:val="en-US"/>
              </w:rPr>
            </w:pPr>
            <w:r w:rsidRPr="00AC70F4">
              <w:rPr>
                <w:rFonts w:ascii="Arial" w:hAnsi="Arial" w:cs="Arial"/>
                <w:b/>
                <w:lang w:val="en-US"/>
              </w:rPr>
              <w:t>Plus Mark…………………………………………….</w:t>
            </w:r>
          </w:p>
        </w:tc>
        <w:tc>
          <w:tcPr>
            <w:tcW w:w="929" w:type="dxa"/>
          </w:tcPr>
          <w:p w:rsidR="004D3F4B" w:rsidRPr="00AC70F4" w:rsidRDefault="004D3F4B" w:rsidP="00AC70F4">
            <w:pPr>
              <w:pStyle w:val="Numbered"/>
              <w:numPr>
                <w:ilvl w:val="0"/>
                <w:numId w:val="0"/>
              </w:numPr>
              <w:spacing w:after="0" w:line="360" w:lineRule="auto"/>
              <w:jc w:val="both"/>
              <w:rPr>
                <w:rFonts w:ascii="Arial" w:hAnsi="Arial" w:cs="Arial"/>
                <w:b/>
                <w:lang w:val="en-US"/>
              </w:rPr>
            </w:pPr>
            <w:r w:rsidRPr="00AC70F4">
              <w:rPr>
                <w:rFonts w:ascii="Arial" w:hAnsi="Arial" w:cs="Arial"/>
                <w:b/>
                <w:lang w:val="en-US"/>
              </w:rPr>
              <w:t>5%</w:t>
            </w:r>
          </w:p>
        </w:tc>
      </w:tr>
      <w:tr w:rsidR="004D3F4B" w:rsidRPr="00AC70F4" w:rsidTr="00AC70F4">
        <w:trPr>
          <w:jc w:val="center"/>
        </w:trPr>
        <w:tc>
          <w:tcPr>
            <w:tcW w:w="4860" w:type="dxa"/>
          </w:tcPr>
          <w:p w:rsidR="004D3F4B" w:rsidRPr="00AC70F4" w:rsidRDefault="004D3F4B" w:rsidP="00AC70F4">
            <w:pPr>
              <w:pStyle w:val="Numbered"/>
              <w:numPr>
                <w:ilvl w:val="0"/>
                <w:numId w:val="0"/>
              </w:numPr>
              <w:spacing w:after="0" w:line="360" w:lineRule="auto"/>
              <w:jc w:val="both"/>
              <w:rPr>
                <w:rFonts w:ascii="Arial" w:hAnsi="Arial" w:cs="Arial"/>
                <w:b/>
                <w:color w:val="C00000"/>
                <w:lang w:val="en-US"/>
              </w:rPr>
            </w:pPr>
            <w:r w:rsidRPr="00AC70F4">
              <w:rPr>
                <w:rFonts w:ascii="Arial" w:hAnsi="Arial" w:cs="Arial"/>
                <w:b/>
                <w:color w:val="C00000"/>
                <w:lang w:val="en-US"/>
              </w:rPr>
              <w:t>Total………………………………………................</w:t>
            </w:r>
          </w:p>
        </w:tc>
        <w:tc>
          <w:tcPr>
            <w:tcW w:w="929" w:type="dxa"/>
          </w:tcPr>
          <w:p w:rsidR="004D3F4B" w:rsidRPr="00AC70F4" w:rsidRDefault="004D3F4B" w:rsidP="00AC70F4">
            <w:pPr>
              <w:pStyle w:val="Numbered"/>
              <w:numPr>
                <w:ilvl w:val="0"/>
                <w:numId w:val="0"/>
              </w:numPr>
              <w:spacing w:after="0" w:line="360" w:lineRule="auto"/>
              <w:jc w:val="both"/>
              <w:rPr>
                <w:rFonts w:ascii="Arial" w:hAnsi="Arial" w:cs="Arial"/>
                <w:b/>
                <w:color w:val="C00000"/>
                <w:lang w:val="en-US"/>
              </w:rPr>
            </w:pPr>
            <w:r w:rsidRPr="00AC70F4">
              <w:rPr>
                <w:rFonts w:ascii="Arial" w:hAnsi="Arial" w:cs="Arial"/>
                <w:b/>
                <w:color w:val="C00000"/>
                <w:lang w:val="en-US"/>
              </w:rPr>
              <w:t xml:space="preserve">100% </w:t>
            </w:r>
          </w:p>
        </w:tc>
      </w:tr>
    </w:tbl>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Pr="007A04A8" w:rsidRDefault="00432EA1" w:rsidP="0046364A">
      <w:pPr>
        <w:pStyle w:val="Head1"/>
        <w:rPr>
          <w:rFonts w:ascii="Arial" w:hAnsi="Arial" w:cs="Arial"/>
          <w:b/>
        </w:rPr>
      </w:pPr>
      <w:bookmarkStart w:id="9" w:name="_Toc273454139"/>
      <w:r w:rsidRPr="007A04A8">
        <w:rPr>
          <w:rFonts w:ascii="Arial" w:hAnsi="Arial" w:cs="Arial"/>
          <w:b/>
        </w:rPr>
        <w:lastRenderedPageBreak/>
        <w:t>4</w:t>
      </w:r>
      <w:r w:rsidR="0046364A" w:rsidRPr="007A04A8">
        <w:rPr>
          <w:rFonts w:ascii="Arial" w:hAnsi="Arial" w:cs="Arial"/>
          <w:b/>
        </w:rPr>
        <w:t xml:space="preserve">  Results</w:t>
      </w:r>
    </w:p>
    <w:p w:rsidR="0046364A" w:rsidRPr="004D3F4B" w:rsidRDefault="0046364A" w:rsidP="0046364A">
      <w:pPr>
        <w:pStyle w:val="Head2"/>
        <w:rPr>
          <w:rFonts w:ascii="Arial" w:hAnsi="Arial" w:cs="Arial"/>
          <w:b/>
        </w:rPr>
      </w:pPr>
      <w:r w:rsidRPr="004D3F4B">
        <w:rPr>
          <w:rFonts w:ascii="Arial" w:hAnsi="Arial" w:cs="Arial"/>
          <w:b/>
        </w:rPr>
        <w:t>Category Results</w:t>
      </w:r>
      <w:bookmarkEnd w:id="9"/>
      <w:r w:rsidRPr="004D3F4B">
        <w:rPr>
          <w:rFonts w:ascii="Arial" w:hAnsi="Arial" w:cs="Arial"/>
          <w:b/>
        </w:rPr>
        <w:t xml:space="preserve">  </w:t>
      </w:r>
    </w:p>
    <w:p w:rsidR="0046364A" w:rsidRPr="00BA3D7A" w:rsidRDefault="0046364A" w:rsidP="0046364A">
      <w:pPr>
        <w:pStyle w:val="Body"/>
        <w:spacing w:after="120"/>
        <w:rPr>
          <w:rFonts w:ascii="Arial" w:hAnsi="Arial" w:cs="Arial"/>
          <w:lang w:val="en-GB"/>
        </w:rPr>
      </w:pPr>
      <w:r w:rsidRPr="00BA3D7A">
        <w:rPr>
          <w:rFonts w:ascii="Arial" w:hAnsi="Arial" w:cs="Arial"/>
          <w:lang w:val="en-GB"/>
        </w:rPr>
        <w:t xml:space="preserve">The Index is constructed around three </w:t>
      </w:r>
      <w:r>
        <w:rPr>
          <w:rFonts w:ascii="Arial" w:hAnsi="Arial" w:cs="Arial"/>
          <w:lang w:val="en-GB"/>
        </w:rPr>
        <w:t xml:space="preserve">categories or </w:t>
      </w:r>
      <w:r w:rsidRPr="00BA3D7A">
        <w:rPr>
          <w:rFonts w:ascii="Arial" w:hAnsi="Arial" w:cs="Arial"/>
          <w:lang w:val="en-GB"/>
        </w:rPr>
        <w:t>dimensions of corporate governance:</w:t>
      </w:r>
    </w:p>
    <w:p w:rsidR="0046364A" w:rsidRPr="00BA3D7A" w:rsidRDefault="0046364A" w:rsidP="00AC70F4">
      <w:pPr>
        <w:pStyle w:val="Bullet1"/>
        <w:numPr>
          <w:ilvl w:val="0"/>
          <w:numId w:val="11"/>
        </w:numPr>
        <w:rPr>
          <w:rFonts w:ascii="Arial" w:hAnsi="Arial" w:cs="Arial"/>
        </w:rPr>
      </w:pPr>
      <w:r w:rsidRPr="00BA3D7A">
        <w:rPr>
          <w:rFonts w:ascii="Arial" w:hAnsi="Arial" w:cs="Arial"/>
        </w:rPr>
        <w:t xml:space="preserve">Compliance </w:t>
      </w:r>
    </w:p>
    <w:p w:rsidR="0046364A" w:rsidRPr="00BA3D7A" w:rsidRDefault="0046364A" w:rsidP="00AC70F4">
      <w:pPr>
        <w:pStyle w:val="Bullet1"/>
        <w:numPr>
          <w:ilvl w:val="0"/>
          <w:numId w:val="11"/>
        </w:numPr>
        <w:rPr>
          <w:rFonts w:ascii="Arial" w:hAnsi="Arial" w:cs="Arial"/>
        </w:rPr>
      </w:pPr>
      <w:r w:rsidRPr="00BA3D7A">
        <w:rPr>
          <w:rFonts w:ascii="Arial" w:hAnsi="Arial" w:cs="Arial"/>
        </w:rPr>
        <w:t>Capacity</w:t>
      </w:r>
    </w:p>
    <w:p w:rsidR="0046364A" w:rsidRPr="00BA3D7A" w:rsidRDefault="0046364A" w:rsidP="00AC70F4">
      <w:pPr>
        <w:pStyle w:val="Bullet1"/>
        <w:numPr>
          <w:ilvl w:val="0"/>
          <w:numId w:val="11"/>
        </w:numPr>
        <w:rPr>
          <w:rFonts w:ascii="Arial" w:hAnsi="Arial" w:cs="Arial"/>
        </w:rPr>
      </w:pPr>
      <w:r w:rsidRPr="00BA3D7A">
        <w:rPr>
          <w:rFonts w:ascii="Arial" w:hAnsi="Arial" w:cs="Arial"/>
        </w:rPr>
        <w:t>Commitment</w:t>
      </w:r>
    </w:p>
    <w:p w:rsidR="0046364A" w:rsidRPr="00BA3D7A" w:rsidRDefault="0046364A" w:rsidP="0046364A">
      <w:pPr>
        <w:pStyle w:val="Body"/>
        <w:spacing w:after="120"/>
        <w:rPr>
          <w:rFonts w:ascii="Arial" w:hAnsi="Arial" w:cs="Arial"/>
          <w:lang w:val="en-GB"/>
        </w:rPr>
      </w:pPr>
      <w:r w:rsidRPr="00BA3D7A">
        <w:rPr>
          <w:rFonts w:ascii="Arial" w:hAnsi="Arial" w:cs="Arial"/>
          <w:lang w:val="en-GB"/>
        </w:rPr>
        <w:t>To ensure a state of equality for all organisations, the information used in the analysis is drawn entirely from publicly available reports and accounts.</w:t>
      </w:r>
      <w:r>
        <w:rPr>
          <w:rFonts w:ascii="Arial" w:hAnsi="Arial" w:cs="Arial"/>
          <w:lang w:val="en-GB"/>
        </w:rPr>
        <w:t xml:space="preserve"> Each dimension is scored A to F.</w:t>
      </w:r>
      <w:r w:rsidRPr="00BA3D7A">
        <w:rPr>
          <w:rFonts w:ascii="Arial" w:hAnsi="Arial" w:cs="Arial"/>
          <w:lang w:val="en-GB"/>
        </w:rPr>
        <w:t xml:space="preserve"> It should be noted that the Index gives additional credit to those organisations offering greater transparency and those who publish fuller information in each category.</w:t>
      </w:r>
    </w:p>
    <w:p w:rsidR="0046364A" w:rsidRPr="00BA3D7A" w:rsidRDefault="0046364A" w:rsidP="0046364A">
      <w:pPr>
        <w:pStyle w:val="Body"/>
        <w:spacing w:after="120"/>
        <w:rPr>
          <w:rFonts w:ascii="Arial" w:hAnsi="Arial" w:cs="Arial"/>
          <w:lang w:val="en-GB"/>
        </w:rPr>
      </w:pPr>
      <w:r w:rsidRPr="00BA3D7A">
        <w:rPr>
          <w:rFonts w:ascii="Arial" w:hAnsi="Arial" w:cs="Arial"/>
          <w:lang w:val="en-GB"/>
        </w:rPr>
        <w:t>For each dimension, a number of independent factors or ‘elements’ have been selected as being significant in assessing the effectiveness of corporate governance.</w:t>
      </w:r>
    </w:p>
    <w:p w:rsidR="0046364A" w:rsidRDefault="0046364A" w:rsidP="0046364A">
      <w:pPr>
        <w:pStyle w:val="SubHead"/>
        <w:spacing w:after="480"/>
        <w:rPr>
          <w:rFonts w:ascii="Arial" w:eastAsia="SimSun" w:hAnsi="Arial" w:cs="Arial"/>
          <w:kern w:val="1"/>
          <w:lang w:eastAsia="hi-IN" w:bidi="hi-IN"/>
        </w:rPr>
      </w:pPr>
    </w:p>
    <w:p w:rsidR="0046364A" w:rsidRPr="004D3F4B" w:rsidRDefault="0046364A" w:rsidP="0046364A">
      <w:pPr>
        <w:pStyle w:val="SubHead"/>
        <w:spacing w:after="480"/>
        <w:rPr>
          <w:rFonts w:ascii="Arial" w:eastAsia="SimSun" w:hAnsi="Arial" w:cs="Arial"/>
          <w:b/>
          <w:kern w:val="1"/>
          <w:lang w:eastAsia="hi-IN" w:bidi="hi-IN"/>
        </w:rPr>
      </w:pPr>
      <w:r w:rsidRPr="004D3F4B">
        <w:rPr>
          <w:rFonts w:ascii="Arial" w:eastAsia="SimSun" w:hAnsi="Arial" w:cs="Arial"/>
          <w:b/>
          <w:kern w:val="1"/>
          <w:lang w:eastAsia="hi-IN" w:bidi="hi-IN"/>
        </w:rPr>
        <w:t>FTSE 100: Numbers of companies achieving ratings in each category</w:t>
      </w:r>
    </w:p>
    <w:tbl>
      <w:tblPr>
        <w:tblW w:w="9363" w:type="dxa"/>
        <w:tblInd w:w="108" w:type="dxa"/>
        <w:tblBorders>
          <w:top w:val="single" w:sz="4" w:space="0" w:color="auto"/>
          <w:left w:val="single" w:sz="4" w:space="0" w:color="auto"/>
          <w:bottom w:val="single" w:sz="4" w:space="0" w:color="auto"/>
          <w:right w:val="single" w:sz="4" w:space="0" w:color="auto"/>
        </w:tblBorders>
        <w:shd w:val="clear" w:color="auto" w:fill="E6E6E6"/>
        <w:tblLayout w:type="fixed"/>
        <w:tblLook w:val="0000"/>
      </w:tblPr>
      <w:tblGrid>
        <w:gridCol w:w="1803"/>
        <w:gridCol w:w="1080"/>
        <w:gridCol w:w="1080"/>
        <w:gridCol w:w="1080"/>
        <w:gridCol w:w="1080"/>
        <w:gridCol w:w="1080"/>
        <w:gridCol w:w="1080"/>
        <w:gridCol w:w="1080"/>
      </w:tblGrid>
      <w:tr w:rsidR="0046364A" w:rsidRPr="00BA3D7A" w:rsidTr="0046364A">
        <w:trPr>
          <w:trHeight w:val="432"/>
        </w:trPr>
        <w:tc>
          <w:tcPr>
            <w:tcW w:w="1803" w:type="dxa"/>
            <w:tcBorders>
              <w:top w:val="single" w:sz="4" w:space="0" w:color="6E665D"/>
              <w:left w:val="single" w:sz="4" w:space="0" w:color="6E665D"/>
              <w:bottom w:val="nil"/>
            </w:tcBorders>
            <w:shd w:val="clear" w:color="auto" w:fill="6E665D"/>
            <w:vAlign w:val="center"/>
          </w:tcPr>
          <w:p w:rsidR="0046364A" w:rsidRPr="00BA3D7A" w:rsidRDefault="0046364A" w:rsidP="0046364A">
            <w:pPr>
              <w:suppressAutoHyphens/>
              <w:snapToGrid w:val="0"/>
              <w:spacing w:after="0" w:line="240" w:lineRule="auto"/>
              <w:rPr>
                <w:rFonts w:ascii="Arial" w:eastAsia="SimSun" w:hAnsi="Arial" w:cs="Arial"/>
                <w:b/>
                <w:bCs/>
                <w:color w:val="FFFFFF"/>
                <w:kern w:val="1"/>
                <w:sz w:val="18"/>
                <w:szCs w:val="18"/>
                <w:lang w:val="en-GB" w:eastAsia="hi-IN" w:bidi="hi-IN"/>
              </w:rPr>
            </w:pPr>
            <w:r w:rsidRPr="00BA3D7A">
              <w:rPr>
                <w:rFonts w:ascii="Arial" w:eastAsia="SimSun" w:hAnsi="Arial" w:cs="Arial"/>
                <w:b/>
                <w:bCs/>
                <w:color w:val="FFFFFF"/>
                <w:kern w:val="1"/>
                <w:sz w:val="18"/>
                <w:szCs w:val="18"/>
                <w:lang w:val="en-GB" w:eastAsia="hi-IN" w:bidi="hi-IN"/>
              </w:rPr>
              <w:t>RGI Ratings</w:t>
            </w:r>
          </w:p>
        </w:tc>
        <w:tc>
          <w:tcPr>
            <w:tcW w:w="1080" w:type="dxa"/>
            <w:tcBorders>
              <w:top w:val="single" w:sz="4" w:space="0" w:color="6E665D"/>
              <w:bottom w:val="nil"/>
            </w:tcBorders>
            <w:shd w:val="clear" w:color="auto" w:fill="6E665D"/>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
                <w:bCs/>
                <w:color w:val="FFFFFF"/>
                <w:kern w:val="1"/>
                <w:sz w:val="18"/>
                <w:szCs w:val="18"/>
                <w:lang w:val="en-GB" w:eastAsia="hi-IN" w:bidi="hi-IN"/>
              </w:rPr>
            </w:pPr>
            <w:r w:rsidRPr="00BA3D7A">
              <w:rPr>
                <w:rFonts w:ascii="Arial" w:eastAsia="SimSun" w:hAnsi="Arial" w:cs="Arial"/>
                <w:b/>
                <w:bCs/>
                <w:color w:val="FFFFFF"/>
                <w:kern w:val="1"/>
                <w:sz w:val="18"/>
                <w:szCs w:val="18"/>
                <w:lang w:val="en-GB" w:eastAsia="hi-IN" w:bidi="hi-IN"/>
              </w:rPr>
              <w:t>A</w:t>
            </w:r>
          </w:p>
        </w:tc>
        <w:tc>
          <w:tcPr>
            <w:tcW w:w="1080" w:type="dxa"/>
            <w:tcBorders>
              <w:top w:val="single" w:sz="4" w:space="0" w:color="6E665D"/>
              <w:bottom w:val="nil"/>
            </w:tcBorders>
            <w:shd w:val="clear" w:color="auto" w:fill="6E665D"/>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
                <w:bCs/>
                <w:color w:val="FFFFFF"/>
                <w:kern w:val="1"/>
                <w:sz w:val="18"/>
                <w:szCs w:val="18"/>
                <w:lang w:val="en-GB" w:eastAsia="hi-IN" w:bidi="hi-IN"/>
              </w:rPr>
            </w:pPr>
            <w:r w:rsidRPr="00BA3D7A">
              <w:rPr>
                <w:rFonts w:ascii="Arial" w:eastAsia="SimSun" w:hAnsi="Arial" w:cs="Arial"/>
                <w:b/>
                <w:bCs/>
                <w:color w:val="FFFFFF"/>
                <w:kern w:val="1"/>
                <w:sz w:val="18"/>
                <w:szCs w:val="18"/>
                <w:lang w:val="en-GB" w:eastAsia="hi-IN" w:bidi="hi-IN"/>
              </w:rPr>
              <w:t>B</w:t>
            </w:r>
          </w:p>
        </w:tc>
        <w:tc>
          <w:tcPr>
            <w:tcW w:w="1080" w:type="dxa"/>
            <w:tcBorders>
              <w:top w:val="single" w:sz="4" w:space="0" w:color="6E665D"/>
              <w:bottom w:val="nil"/>
            </w:tcBorders>
            <w:shd w:val="clear" w:color="auto" w:fill="6E665D"/>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
                <w:bCs/>
                <w:color w:val="FFFFFF"/>
                <w:kern w:val="1"/>
                <w:sz w:val="18"/>
                <w:szCs w:val="18"/>
                <w:lang w:val="en-GB" w:eastAsia="hi-IN" w:bidi="hi-IN"/>
              </w:rPr>
            </w:pPr>
            <w:r w:rsidRPr="00BA3D7A">
              <w:rPr>
                <w:rFonts w:ascii="Arial" w:eastAsia="SimSun" w:hAnsi="Arial" w:cs="Arial"/>
                <w:b/>
                <w:bCs/>
                <w:color w:val="FFFFFF"/>
                <w:kern w:val="1"/>
                <w:sz w:val="18"/>
                <w:szCs w:val="18"/>
                <w:lang w:val="en-GB" w:eastAsia="hi-IN" w:bidi="hi-IN"/>
              </w:rPr>
              <w:t>C</w:t>
            </w:r>
          </w:p>
        </w:tc>
        <w:tc>
          <w:tcPr>
            <w:tcW w:w="1080" w:type="dxa"/>
            <w:tcBorders>
              <w:top w:val="single" w:sz="4" w:space="0" w:color="6E665D"/>
              <w:bottom w:val="nil"/>
            </w:tcBorders>
            <w:shd w:val="clear" w:color="auto" w:fill="6E665D"/>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
                <w:bCs/>
                <w:color w:val="FFFFFF"/>
                <w:kern w:val="1"/>
                <w:sz w:val="18"/>
                <w:szCs w:val="18"/>
                <w:lang w:val="en-GB" w:eastAsia="hi-IN" w:bidi="hi-IN"/>
              </w:rPr>
            </w:pPr>
            <w:r w:rsidRPr="00BA3D7A">
              <w:rPr>
                <w:rFonts w:ascii="Arial" w:eastAsia="SimSun" w:hAnsi="Arial" w:cs="Arial"/>
                <w:b/>
                <w:bCs/>
                <w:color w:val="FFFFFF"/>
                <w:kern w:val="1"/>
                <w:sz w:val="18"/>
                <w:szCs w:val="18"/>
                <w:lang w:val="en-GB" w:eastAsia="hi-IN" w:bidi="hi-IN"/>
              </w:rPr>
              <w:t>D</w:t>
            </w:r>
          </w:p>
        </w:tc>
        <w:tc>
          <w:tcPr>
            <w:tcW w:w="1080" w:type="dxa"/>
            <w:tcBorders>
              <w:top w:val="single" w:sz="4" w:space="0" w:color="6E665D"/>
              <w:bottom w:val="nil"/>
            </w:tcBorders>
            <w:shd w:val="clear" w:color="auto" w:fill="6E665D"/>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
                <w:bCs/>
                <w:color w:val="FFFFFF"/>
                <w:kern w:val="1"/>
                <w:sz w:val="18"/>
                <w:szCs w:val="18"/>
                <w:lang w:val="en-GB" w:eastAsia="hi-IN" w:bidi="hi-IN"/>
              </w:rPr>
            </w:pPr>
            <w:r w:rsidRPr="00BA3D7A">
              <w:rPr>
                <w:rFonts w:ascii="Arial" w:eastAsia="SimSun" w:hAnsi="Arial" w:cs="Arial"/>
                <w:b/>
                <w:bCs/>
                <w:color w:val="FFFFFF"/>
                <w:kern w:val="1"/>
                <w:sz w:val="18"/>
                <w:szCs w:val="18"/>
                <w:lang w:val="en-GB" w:eastAsia="hi-IN" w:bidi="hi-IN"/>
              </w:rPr>
              <w:t>E</w:t>
            </w:r>
          </w:p>
        </w:tc>
        <w:tc>
          <w:tcPr>
            <w:tcW w:w="1080" w:type="dxa"/>
            <w:tcBorders>
              <w:top w:val="single" w:sz="4" w:space="0" w:color="6E665D"/>
              <w:bottom w:val="nil"/>
            </w:tcBorders>
            <w:shd w:val="clear" w:color="auto" w:fill="6E665D"/>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
                <w:bCs/>
                <w:color w:val="FFFFFF"/>
                <w:kern w:val="1"/>
                <w:sz w:val="18"/>
                <w:szCs w:val="18"/>
                <w:lang w:val="en-GB" w:eastAsia="hi-IN" w:bidi="hi-IN"/>
              </w:rPr>
            </w:pPr>
            <w:r w:rsidRPr="00BA3D7A">
              <w:rPr>
                <w:rFonts w:ascii="Arial" w:eastAsia="SimSun" w:hAnsi="Arial" w:cs="Arial"/>
                <w:b/>
                <w:bCs/>
                <w:color w:val="FFFFFF"/>
                <w:kern w:val="1"/>
                <w:sz w:val="18"/>
                <w:szCs w:val="18"/>
                <w:lang w:val="en-GB" w:eastAsia="hi-IN" w:bidi="hi-IN"/>
              </w:rPr>
              <w:t>F</w:t>
            </w:r>
          </w:p>
        </w:tc>
        <w:tc>
          <w:tcPr>
            <w:tcW w:w="1080" w:type="dxa"/>
            <w:tcBorders>
              <w:top w:val="single" w:sz="4" w:space="0" w:color="6E665D"/>
              <w:bottom w:val="nil"/>
              <w:right w:val="single" w:sz="4" w:space="0" w:color="6E665D"/>
            </w:tcBorders>
            <w:shd w:val="clear" w:color="auto" w:fill="6E665D"/>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
                <w:bCs/>
                <w:color w:val="FFFFFF"/>
                <w:kern w:val="1"/>
                <w:sz w:val="18"/>
                <w:szCs w:val="18"/>
                <w:lang w:val="en-GB" w:eastAsia="hi-IN" w:bidi="hi-IN"/>
              </w:rPr>
            </w:pPr>
            <w:r w:rsidRPr="00BA3D7A">
              <w:rPr>
                <w:rFonts w:ascii="Arial" w:eastAsia="SimSun" w:hAnsi="Arial" w:cs="Arial"/>
                <w:b/>
                <w:bCs/>
                <w:color w:val="FFFFFF"/>
                <w:kern w:val="1"/>
                <w:sz w:val="18"/>
                <w:szCs w:val="18"/>
                <w:lang w:val="en-GB" w:eastAsia="hi-IN" w:bidi="hi-IN"/>
              </w:rPr>
              <w:t>Total</w:t>
            </w:r>
          </w:p>
        </w:tc>
      </w:tr>
      <w:tr w:rsidR="0046364A" w:rsidRPr="00BA3D7A" w:rsidTr="0046364A">
        <w:trPr>
          <w:trHeight w:val="576"/>
        </w:trPr>
        <w:tc>
          <w:tcPr>
            <w:tcW w:w="1803" w:type="dxa"/>
            <w:tcBorders>
              <w:top w:val="nil"/>
              <w:left w:val="single" w:sz="4" w:space="0" w:color="6E665D"/>
              <w:bottom w:val="single" w:sz="2" w:space="0" w:color="BFBFBF"/>
            </w:tcBorders>
            <w:shd w:val="clear" w:color="auto" w:fill="E6E6E6"/>
            <w:vAlign w:val="center"/>
          </w:tcPr>
          <w:p w:rsidR="0046364A" w:rsidRPr="00BA3D7A" w:rsidRDefault="0046364A" w:rsidP="0046364A">
            <w:pPr>
              <w:suppressAutoHyphens/>
              <w:snapToGrid w:val="0"/>
              <w:spacing w:after="0" w:line="240" w:lineRule="auto"/>
              <w:rPr>
                <w:rFonts w:ascii="Arial" w:eastAsia="SimSun" w:hAnsi="Arial" w:cs="Arial"/>
                <w:b/>
                <w:bCs/>
                <w:kern w:val="1"/>
                <w:sz w:val="20"/>
                <w:szCs w:val="20"/>
                <w:lang w:val="en-GB" w:eastAsia="hi-IN" w:bidi="hi-IN"/>
              </w:rPr>
            </w:pPr>
            <w:r w:rsidRPr="00BA3D7A">
              <w:rPr>
                <w:rFonts w:ascii="Arial" w:eastAsia="SimSun" w:hAnsi="Arial" w:cs="Arial"/>
                <w:b/>
                <w:bCs/>
                <w:kern w:val="1"/>
                <w:sz w:val="20"/>
                <w:szCs w:val="20"/>
                <w:lang w:val="en-GB" w:eastAsia="hi-IN" w:bidi="hi-IN"/>
              </w:rPr>
              <w:t xml:space="preserve">Compliance </w:t>
            </w:r>
          </w:p>
        </w:tc>
        <w:tc>
          <w:tcPr>
            <w:tcW w:w="1080" w:type="dxa"/>
            <w:tcBorders>
              <w:top w:val="nil"/>
              <w:bottom w:val="single" w:sz="2" w:space="0" w:color="BFBFBF"/>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65 (34)</w:t>
            </w:r>
          </w:p>
        </w:tc>
        <w:tc>
          <w:tcPr>
            <w:tcW w:w="1080" w:type="dxa"/>
            <w:tcBorders>
              <w:top w:val="nil"/>
              <w:bottom w:val="single" w:sz="2" w:space="0" w:color="BFBFBF"/>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33 (42)</w:t>
            </w:r>
          </w:p>
        </w:tc>
        <w:tc>
          <w:tcPr>
            <w:tcW w:w="1080" w:type="dxa"/>
            <w:tcBorders>
              <w:top w:val="nil"/>
              <w:bottom w:val="single" w:sz="2" w:space="0" w:color="BFBFBF"/>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0 (13)</w:t>
            </w:r>
          </w:p>
        </w:tc>
        <w:tc>
          <w:tcPr>
            <w:tcW w:w="1080" w:type="dxa"/>
            <w:tcBorders>
              <w:top w:val="nil"/>
              <w:bottom w:val="single" w:sz="2" w:space="0" w:color="BFBFBF"/>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0 (3)</w:t>
            </w:r>
          </w:p>
        </w:tc>
        <w:tc>
          <w:tcPr>
            <w:tcW w:w="1080" w:type="dxa"/>
            <w:tcBorders>
              <w:top w:val="nil"/>
              <w:bottom w:val="single" w:sz="2" w:space="0" w:color="BFBFBF"/>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0 (3)</w:t>
            </w:r>
          </w:p>
        </w:tc>
        <w:tc>
          <w:tcPr>
            <w:tcW w:w="1080" w:type="dxa"/>
            <w:tcBorders>
              <w:top w:val="nil"/>
              <w:bottom w:val="single" w:sz="2" w:space="0" w:color="BFBFBF"/>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1 (4)</w:t>
            </w:r>
          </w:p>
        </w:tc>
        <w:tc>
          <w:tcPr>
            <w:tcW w:w="1080" w:type="dxa"/>
            <w:tcBorders>
              <w:top w:val="nil"/>
              <w:bottom w:val="single" w:sz="2" w:space="0" w:color="BFBFBF"/>
              <w:right w:val="single" w:sz="4" w:space="0" w:color="6E665D"/>
            </w:tcBorders>
            <w:shd w:val="clear" w:color="auto" w:fill="E6E6E6"/>
            <w:vAlign w:val="center"/>
          </w:tcPr>
          <w:p w:rsidR="0046364A" w:rsidRPr="00BA3D7A" w:rsidRDefault="0046364A" w:rsidP="0046364A">
            <w:pPr>
              <w:widowControl w:val="0"/>
              <w:suppressAutoHyphens/>
              <w:snapToGrid w:val="0"/>
              <w:spacing w:after="0" w:line="240" w:lineRule="auto"/>
              <w:ind w:left="44"/>
              <w:jc w:val="center"/>
              <w:rPr>
                <w:rFonts w:ascii="Arial" w:eastAsia="SimSun" w:hAnsi="Arial" w:cs="Arial"/>
                <w:b/>
                <w:bCs/>
                <w:color w:val="C60C30"/>
                <w:kern w:val="1"/>
                <w:sz w:val="20"/>
                <w:szCs w:val="20"/>
                <w:lang w:val="en-GB" w:eastAsia="hi-IN" w:bidi="hi-IN"/>
              </w:rPr>
            </w:pPr>
            <w:r w:rsidRPr="00BA3D7A">
              <w:rPr>
                <w:rFonts w:ascii="Arial" w:eastAsia="SimSun" w:hAnsi="Arial" w:cs="Arial"/>
                <w:b/>
                <w:bCs/>
                <w:color w:val="C60C30"/>
                <w:kern w:val="1"/>
                <w:sz w:val="20"/>
                <w:szCs w:val="20"/>
                <w:lang w:val="en-GB" w:eastAsia="hi-IN" w:bidi="hi-IN"/>
              </w:rPr>
              <w:t>99</w:t>
            </w:r>
          </w:p>
        </w:tc>
      </w:tr>
      <w:tr w:rsidR="0046364A" w:rsidRPr="00BA3D7A" w:rsidTr="0046364A">
        <w:trPr>
          <w:trHeight w:val="576"/>
        </w:trPr>
        <w:tc>
          <w:tcPr>
            <w:tcW w:w="1803" w:type="dxa"/>
            <w:tcBorders>
              <w:top w:val="single" w:sz="2" w:space="0" w:color="BFBFBF"/>
              <w:left w:val="single" w:sz="4" w:space="0" w:color="6E665D"/>
              <w:bottom w:val="single" w:sz="2" w:space="0" w:color="BFBFBF"/>
            </w:tcBorders>
            <w:shd w:val="clear" w:color="auto" w:fill="F9F9F9"/>
            <w:vAlign w:val="center"/>
          </w:tcPr>
          <w:p w:rsidR="0046364A" w:rsidRPr="00BA3D7A" w:rsidRDefault="0046364A" w:rsidP="0046364A">
            <w:pPr>
              <w:suppressAutoHyphens/>
              <w:snapToGrid w:val="0"/>
              <w:spacing w:after="0" w:line="240" w:lineRule="auto"/>
              <w:rPr>
                <w:rFonts w:ascii="Arial" w:eastAsia="SimSun" w:hAnsi="Arial" w:cs="Arial"/>
                <w:b/>
                <w:bCs/>
                <w:kern w:val="1"/>
                <w:sz w:val="20"/>
                <w:szCs w:val="20"/>
                <w:lang w:val="en-GB" w:eastAsia="hi-IN" w:bidi="hi-IN"/>
              </w:rPr>
            </w:pPr>
            <w:r w:rsidRPr="00BA3D7A">
              <w:rPr>
                <w:rFonts w:ascii="Arial" w:eastAsia="SimSun" w:hAnsi="Arial" w:cs="Arial"/>
                <w:b/>
                <w:bCs/>
                <w:kern w:val="1"/>
                <w:sz w:val="20"/>
                <w:szCs w:val="20"/>
                <w:lang w:val="en-GB" w:eastAsia="hi-IN" w:bidi="hi-IN"/>
              </w:rPr>
              <w:t xml:space="preserve">Capacity </w:t>
            </w:r>
          </w:p>
        </w:tc>
        <w:tc>
          <w:tcPr>
            <w:tcW w:w="1080" w:type="dxa"/>
            <w:tcBorders>
              <w:top w:val="single" w:sz="2" w:space="0" w:color="BFBFBF"/>
              <w:bottom w:val="single" w:sz="2" w:space="0" w:color="BFBFBF"/>
            </w:tcBorders>
            <w:shd w:val="clear" w:color="auto" w:fill="F9F9F9"/>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1 (4)</w:t>
            </w:r>
          </w:p>
        </w:tc>
        <w:tc>
          <w:tcPr>
            <w:tcW w:w="1080" w:type="dxa"/>
            <w:tcBorders>
              <w:top w:val="single" w:sz="2" w:space="0" w:color="BFBFBF"/>
              <w:bottom w:val="single" w:sz="2" w:space="0" w:color="BFBFBF"/>
            </w:tcBorders>
            <w:shd w:val="clear" w:color="auto" w:fill="F9F9F9"/>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9 (15)</w:t>
            </w:r>
          </w:p>
        </w:tc>
        <w:tc>
          <w:tcPr>
            <w:tcW w:w="1080" w:type="dxa"/>
            <w:tcBorders>
              <w:top w:val="single" w:sz="2" w:space="0" w:color="BFBFBF"/>
              <w:bottom w:val="single" w:sz="2" w:space="0" w:color="BFBFBF"/>
            </w:tcBorders>
            <w:shd w:val="clear" w:color="auto" w:fill="F9F9F9"/>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54 (55)</w:t>
            </w:r>
          </w:p>
        </w:tc>
        <w:tc>
          <w:tcPr>
            <w:tcW w:w="1080" w:type="dxa"/>
            <w:tcBorders>
              <w:top w:val="single" w:sz="2" w:space="0" w:color="BFBFBF"/>
              <w:bottom w:val="single" w:sz="2" w:space="0" w:color="BFBFBF"/>
            </w:tcBorders>
            <w:shd w:val="clear" w:color="auto" w:fill="F9F9F9"/>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20 (21)</w:t>
            </w:r>
          </w:p>
        </w:tc>
        <w:tc>
          <w:tcPr>
            <w:tcW w:w="1080" w:type="dxa"/>
            <w:tcBorders>
              <w:top w:val="single" w:sz="2" w:space="0" w:color="BFBFBF"/>
              <w:bottom w:val="single" w:sz="2" w:space="0" w:color="BFBFBF"/>
            </w:tcBorders>
            <w:shd w:val="clear" w:color="auto" w:fill="F9F9F9"/>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15 (3)</w:t>
            </w:r>
          </w:p>
        </w:tc>
        <w:tc>
          <w:tcPr>
            <w:tcW w:w="1080" w:type="dxa"/>
            <w:tcBorders>
              <w:top w:val="single" w:sz="2" w:space="0" w:color="BFBFBF"/>
              <w:bottom w:val="single" w:sz="2" w:space="0" w:color="BFBFBF"/>
            </w:tcBorders>
            <w:shd w:val="clear" w:color="auto" w:fill="F9F9F9"/>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0 (1)</w:t>
            </w:r>
          </w:p>
        </w:tc>
        <w:tc>
          <w:tcPr>
            <w:tcW w:w="1080" w:type="dxa"/>
            <w:tcBorders>
              <w:top w:val="single" w:sz="2" w:space="0" w:color="BFBFBF"/>
              <w:bottom w:val="single" w:sz="2" w:space="0" w:color="BFBFBF"/>
              <w:right w:val="single" w:sz="4" w:space="0" w:color="6E665D"/>
            </w:tcBorders>
            <w:shd w:val="clear" w:color="auto" w:fill="F9F9F9"/>
            <w:vAlign w:val="center"/>
          </w:tcPr>
          <w:p w:rsidR="0046364A" w:rsidRPr="00BA3D7A" w:rsidRDefault="0046364A" w:rsidP="0046364A">
            <w:pPr>
              <w:widowControl w:val="0"/>
              <w:suppressAutoHyphens/>
              <w:snapToGrid w:val="0"/>
              <w:spacing w:after="0" w:line="240" w:lineRule="auto"/>
              <w:ind w:left="44"/>
              <w:jc w:val="center"/>
              <w:rPr>
                <w:rFonts w:ascii="Arial" w:eastAsia="SimSun" w:hAnsi="Arial" w:cs="Arial"/>
                <w:b/>
                <w:bCs/>
                <w:color w:val="C60C30"/>
                <w:kern w:val="1"/>
                <w:sz w:val="20"/>
                <w:szCs w:val="20"/>
                <w:lang w:val="en-GB" w:eastAsia="hi-IN" w:bidi="hi-IN"/>
              </w:rPr>
            </w:pPr>
            <w:r w:rsidRPr="00BA3D7A">
              <w:rPr>
                <w:rFonts w:ascii="Arial" w:eastAsia="SimSun" w:hAnsi="Arial" w:cs="Arial"/>
                <w:b/>
                <w:bCs/>
                <w:color w:val="C60C30"/>
                <w:kern w:val="1"/>
                <w:sz w:val="20"/>
                <w:szCs w:val="20"/>
                <w:lang w:val="en-GB" w:eastAsia="hi-IN" w:bidi="hi-IN"/>
              </w:rPr>
              <w:t>99</w:t>
            </w:r>
          </w:p>
        </w:tc>
      </w:tr>
      <w:tr w:rsidR="0046364A" w:rsidRPr="00BA3D7A" w:rsidTr="0046364A">
        <w:trPr>
          <w:trHeight w:val="576"/>
        </w:trPr>
        <w:tc>
          <w:tcPr>
            <w:tcW w:w="1803" w:type="dxa"/>
            <w:tcBorders>
              <w:top w:val="single" w:sz="2" w:space="0" w:color="BFBFBF"/>
              <w:left w:val="single" w:sz="4" w:space="0" w:color="6E665D"/>
              <w:bottom w:val="single" w:sz="4" w:space="0" w:color="6E665D"/>
            </w:tcBorders>
            <w:shd w:val="clear" w:color="auto" w:fill="E6E6E6"/>
            <w:vAlign w:val="center"/>
          </w:tcPr>
          <w:p w:rsidR="0046364A" w:rsidRPr="00BA3D7A" w:rsidRDefault="0046364A" w:rsidP="0046364A">
            <w:pPr>
              <w:suppressAutoHyphens/>
              <w:snapToGrid w:val="0"/>
              <w:spacing w:after="0" w:line="240" w:lineRule="auto"/>
              <w:rPr>
                <w:rFonts w:ascii="Arial" w:eastAsia="SimSun" w:hAnsi="Arial" w:cs="Arial"/>
                <w:b/>
                <w:bCs/>
                <w:kern w:val="1"/>
                <w:sz w:val="20"/>
                <w:szCs w:val="20"/>
                <w:lang w:val="en-GB" w:eastAsia="hi-IN" w:bidi="hi-IN"/>
              </w:rPr>
            </w:pPr>
            <w:r w:rsidRPr="00BA3D7A">
              <w:rPr>
                <w:rFonts w:ascii="Arial" w:eastAsia="SimSun" w:hAnsi="Arial" w:cs="Arial"/>
                <w:b/>
                <w:bCs/>
                <w:kern w:val="1"/>
                <w:sz w:val="20"/>
                <w:szCs w:val="20"/>
                <w:lang w:val="en-GB" w:eastAsia="hi-IN" w:bidi="hi-IN"/>
              </w:rPr>
              <w:t xml:space="preserve">Commitment </w:t>
            </w:r>
          </w:p>
        </w:tc>
        <w:tc>
          <w:tcPr>
            <w:tcW w:w="1080" w:type="dxa"/>
            <w:tcBorders>
              <w:top w:val="single" w:sz="2" w:space="0" w:color="BFBFBF"/>
              <w:bottom w:val="single" w:sz="4" w:space="0" w:color="6E665D"/>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1 (3)</w:t>
            </w:r>
          </w:p>
        </w:tc>
        <w:tc>
          <w:tcPr>
            <w:tcW w:w="1080" w:type="dxa"/>
            <w:tcBorders>
              <w:top w:val="single" w:sz="2" w:space="0" w:color="BFBFBF"/>
              <w:bottom w:val="single" w:sz="4" w:space="0" w:color="6E665D"/>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12 (14)</w:t>
            </w:r>
          </w:p>
        </w:tc>
        <w:tc>
          <w:tcPr>
            <w:tcW w:w="1080" w:type="dxa"/>
            <w:tcBorders>
              <w:top w:val="single" w:sz="2" w:space="0" w:color="BFBFBF"/>
              <w:bottom w:val="single" w:sz="4" w:space="0" w:color="6E665D"/>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70 (56)</w:t>
            </w:r>
          </w:p>
        </w:tc>
        <w:tc>
          <w:tcPr>
            <w:tcW w:w="1080" w:type="dxa"/>
            <w:tcBorders>
              <w:top w:val="single" w:sz="2" w:space="0" w:color="BFBFBF"/>
              <w:bottom w:val="single" w:sz="4" w:space="0" w:color="6E665D"/>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14 (22)</w:t>
            </w:r>
          </w:p>
        </w:tc>
        <w:tc>
          <w:tcPr>
            <w:tcW w:w="1080" w:type="dxa"/>
            <w:tcBorders>
              <w:top w:val="single" w:sz="2" w:space="0" w:color="BFBFBF"/>
              <w:bottom w:val="single" w:sz="4" w:space="0" w:color="6E665D"/>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2 (4)</w:t>
            </w:r>
          </w:p>
        </w:tc>
        <w:tc>
          <w:tcPr>
            <w:tcW w:w="1080" w:type="dxa"/>
            <w:tcBorders>
              <w:top w:val="single" w:sz="2" w:space="0" w:color="BFBFBF"/>
              <w:bottom w:val="single" w:sz="4" w:space="0" w:color="6E665D"/>
            </w:tcBorders>
            <w:shd w:val="clear" w:color="auto" w:fill="E6E6E6"/>
            <w:vAlign w:val="center"/>
          </w:tcPr>
          <w:p w:rsidR="0046364A" w:rsidRPr="00BA3D7A" w:rsidRDefault="0046364A" w:rsidP="0046364A">
            <w:pPr>
              <w:widowControl w:val="0"/>
              <w:suppressAutoHyphens/>
              <w:snapToGrid w:val="0"/>
              <w:spacing w:after="0" w:line="240" w:lineRule="auto"/>
              <w:jc w:val="center"/>
              <w:rPr>
                <w:rFonts w:ascii="Arial" w:eastAsia="SimSun" w:hAnsi="Arial" w:cs="Arial"/>
                <w:bCs/>
                <w:kern w:val="1"/>
                <w:sz w:val="20"/>
                <w:szCs w:val="20"/>
                <w:lang w:val="en-GB" w:eastAsia="hi-IN" w:bidi="hi-IN"/>
              </w:rPr>
            </w:pPr>
            <w:r w:rsidRPr="00BA3D7A">
              <w:rPr>
                <w:rFonts w:ascii="Arial" w:eastAsia="SimSun" w:hAnsi="Arial" w:cs="Arial"/>
                <w:bCs/>
                <w:kern w:val="1"/>
                <w:sz w:val="20"/>
                <w:szCs w:val="20"/>
                <w:lang w:val="en-GB" w:eastAsia="hi-IN" w:bidi="hi-IN"/>
              </w:rPr>
              <w:t>0 (0)</w:t>
            </w:r>
          </w:p>
        </w:tc>
        <w:tc>
          <w:tcPr>
            <w:tcW w:w="1080" w:type="dxa"/>
            <w:tcBorders>
              <w:top w:val="single" w:sz="2" w:space="0" w:color="BFBFBF"/>
              <w:bottom w:val="single" w:sz="4" w:space="0" w:color="6E665D"/>
              <w:right w:val="single" w:sz="4" w:space="0" w:color="6E665D"/>
            </w:tcBorders>
            <w:shd w:val="clear" w:color="auto" w:fill="E6E6E6"/>
            <w:vAlign w:val="center"/>
          </w:tcPr>
          <w:p w:rsidR="0046364A" w:rsidRPr="00BA3D7A" w:rsidRDefault="0046364A" w:rsidP="0046364A">
            <w:pPr>
              <w:widowControl w:val="0"/>
              <w:suppressAutoHyphens/>
              <w:snapToGrid w:val="0"/>
              <w:spacing w:after="0" w:line="240" w:lineRule="auto"/>
              <w:ind w:left="44"/>
              <w:jc w:val="center"/>
              <w:rPr>
                <w:rFonts w:ascii="Arial" w:eastAsia="SimSun" w:hAnsi="Arial" w:cs="Arial"/>
                <w:b/>
                <w:bCs/>
                <w:color w:val="C60C30"/>
                <w:kern w:val="1"/>
                <w:sz w:val="20"/>
                <w:szCs w:val="20"/>
                <w:lang w:val="en-GB" w:eastAsia="hi-IN" w:bidi="hi-IN"/>
              </w:rPr>
            </w:pPr>
            <w:r w:rsidRPr="00BA3D7A">
              <w:rPr>
                <w:rFonts w:ascii="Arial" w:eastAsia="SimSun" w:hAnsi="Arial" w:cs="Arial"/>
                <w:b/>
                <w:bCs/>
                <w:color w:val="C60C30"/>
                <w:kern w:val="1"/>
                <w:sz w:val="20"/>
                <w:szCs w:val="20"/>
                <w:lang w:val="en-GB" w:eastAsia="hi-IN" w:bidi="hi-IN"/>
              </w:rPr>
              <w:t>99</w:t>
            </w:r>
          </w:p>
        </w:tc>
      </w:tr>
    </w:tbl>
    <w:p w:rsidR="00346857" w:rsidRDefault="0046364A" w:rsidP="00346857">
      <w:pPr>
        <w:pStyle w:val="Numbered"/>
        <w:numPr>
          <w:ilvl w:val="0"/>
          <w:numId w:val="0"/>
        </w:numPr>
        <w:spacing w:before="360"/>
        <w:rPr>
          <w:rFonts w:ascii="Arial" w:hAnsi="Arial" w:cs="Arial"/>
        </w:rPr>
      </w:pPr>
      <w:r>
        <w:rPr>
          <w:rFonts w:ascii="Arial" w:hAnsi="Arial" w:cs="Arial"/>
        </w:rPr>
        <w:t xml:space="preserve">Notes:    </w:t>
      </w:r>
    </w:p>
    <w:p w:rsidR="004D3F4B" w:rsidRDefault="00346857" w:rsidP="00346857">
      <w:pPr>
        <w:pStyle w:val="Numbered"/>
        <w:numPr>
          <w:ilvl w:val="0"/>
          <w:numId w:val="0"/>
        </w:numPr>
        <w:spacing w:before="360"/>
        <w:rPr>
          <w:rFonts w:ascii="Arial" w:hAnsi="Arial" w:cs="Arial"/>
        </w:rPr>
      </w:pPr>
      <w:r>
        <w:rPr>
          <w:rFonts w:ascii="Arial" w:hAnsi="Arial" w:cs="Arial"/>
        </w:rPr>
        <w:t>2</w:t>
      </w:r>
      <w:r w:rsidR="0046364A">
        <w:rPr>
          <w:rFonts w:ascii="Arial" w:hAnsi="Arial" w:cs="Arial"/>
        </w:rPr>
        <w:t>010 results</w:t>
      </w:r>
      <w:r w:rsidR="0046364A" w:rsidRPr="00BA3D7A">
        <w:rPr>
          <w:rFonts w:ascii="Arial" w:hAnsi="Arial" w:cs="Arial"/>
        </w:rPr>
        <w:t xml:space="preserve"> in brackets</w:t>
      </w:r>
      <w:r w:rsidR="0046364A">
        <w:rPr>
          <w:rFonts w:ascii="Arial" w:hAnsi="Arial" w:cs="Arial"/>
        </w:rPr>
        <w:t xml:space="preserve">    </w:t>
      </w:r>
    </w:p>
    <w:p w:rsidR="0046364A" w:rsidRDefault="0046364A" w:rsidP="00346857">
      <w:pPr>
        <w:pStyle w:val="Numbered"/>
        <w:numPr>
          <w:ilvl w:val="0"/>
          <w:numId w:val="0"/>
        </w:numPr>
        <w:spacing w:before="360"/>
        <w:rPr>
          <w:rFonts w:ascii="Arial" w:hAnsi="Arial" w:cs="Arial"/>
          <w:lang w:val="en-US"/>
        </w:rPr>
      </w:pPr>
      <w:r>
        <w:rPr>
          <w:rFonts w:ascii="Arial" w:hAnsi="Arial" w:cs="Arial"/>
        </w:rPr>
        <w:t>Combining Shell’s two listings i.e. 99 companies</w:t>
      </w: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46364A" w:rsidRDefault="0046364A" w:rsidP="0046364A">
      <w:pPr>
        <w:pStyle w:val="Numbered"/>
        <w:numPr>
          <w:ilvl w:val="0"/>
          <w:numId w:val="0"/>
        </w:numPr>
        <w:spacing w:after="0" w:line="360" w:lineRule="auto"/>
        <w:ind w:left="540" w:hanging="540"/>
        <w:jc w:val="both"/>
        <w:rPr>
          <w:rFonts w:ascii="Arial" w:hAnsi="Arial" w:cs="Arial"/>
          <w:lang w:val="en-US"/>
        </w:rPr>
      </w:pPr>
    </w:p>
    <w:p w:rsidR="00A1194A" w:rsidRDefault="00A1194A" w:rsidP="00A90EBF">
      <w:pPr>
        <w:pStyle w:val="Head2"/>
        <w:spacing w:after="480"/>
        <w:rPr>
          <w:rFonts w:ascii="Arial" w:hAnsi="Arial" w:cs="Arial"/>
          <w:b/>
        </w:rPr>
      </w:pPr>
      <w:bookmarkStart w:id="10" w:name="_Toc273454137"/>
    </w:p>
    <w:p w:rsidR="00E63290" w:rsidRPr="004D3F4B" w:rsidRDefault="00432EA1" w:rsidP="00A90EBF">
      <w:pPr>
        <w:pStyle w:val="Head2"/>
        <w:spacing w:after="480"/>
        <w:rPr>
          <w:rFonts w:ascii="Arial" w:hAnsi="Arial" w:cs="Arial"/>
          <w:b/>
        </w:rPr>
      </w:pPr>
      <w:r w:rsidRPr="004D3F4B">
        <w:rPr>
          <w:rFonts w:ascii="Arial" w:hAnsi="Arial" w:cs="Arial"/>
          <w:b/>
        </w:rPr>
        <w:t>4</w:t>
      </w:r>
      <w:r w:rsidR="004D3F4B">
        <w:rPr>
          <w:rFonts w:ascii="Arial" w:hAnsi="Arial" w:cs="Arial"/>
          <w:b/>
        </w:rPr>
        <w:t>.1  T</w:t>
      </w:r>
      <w:r w:rsidR="00700AB9" w:rsidRPr="004D3F4B">
        <w:rPr>
          <w:rFonts w:ascii="Arial" w:hAnsi="Arial" w:cs="Arial"/>
          <w:b/>
        </w:rPr>
        <w:t xml:space="preserve">he </w:t>
      </w:r>
      <w:r w:rsidR="00843971" w:rsidRPr="004D3F4B">
        <w:rPr>
          <w:rFonts w:ascii="Arial" w:hAnsi="Arial" w:cs="Arial"/>
          <w:b/>
        </w:rPr>
        <w:t xml:space="preserve">FTSE RGI </w:t>
      </w:r>
      <w:r w:rsidR="00700AB9" w:rsidRPr="004D3F4B">
        <w:rPr>
          <w:rFonts w:ascii="Arial" w:hAnsi="Arial" w:cs="Arial"/>
          <w:b/>
        </w:rPr>
        <w:t>Top 25 in 201</w:t>
      </w:r>
      <w:bookmarkEnd w:id="10"/>
      <w:r w:rsidR="00526154" w:rsidRPr="004D3F4B">
        <w:rPr>
          <w:rFonts w:ascii="Arial" w:hAnsi="Arial" w:cs="Arial"/>
          <w:b/>
        </w:rPr>
        <w:t>1</w:t>
      </w:r>
    </w:p>
    <w:tbl>
      <w:tblPr>
        <w:tblW w:w="9383" w:type="dxa"/>
        <w:tblInd w:w="108" w:type="dxa"/>
        <w:shd w:val="clear" w:color="auto" w:fill="ECEAE9"/>
        <w:tblCellMar>
          <w:top w:w="72" w:type="dxa"/>
          <w:left w:w="72" w:type="dxa"/>
          <w:bottom w:w="72" w:type="dxa"/>
          <w:right w:w="72" w:type="dxa"/>
        </w:tblCellMar>
        <w:tblLook w:val="00A0"/>
      </w:tblPr>
      <w:tblGrid>
        <w:gridCol w:w="864"/>
        <w:gridCol w:w="3335"/>
        <w:gridCol w:w="1296"/>
        <w:gridCol w:w="1296"/>
        <w:gridCol w:w="1296"/>
        <w:gridCol w:w="1296"/>
      </w:tblGrid>
      <w:tr w:rsidR="000953AB" w:rsidRPr="00BA3D7A" w:rsidTr="000953AB">
        <w:trPr>
          <w:trHeight w:val="170"/>
          <w:tblHeader/>
        </w:trPr>
        <w:tc>
          <w:tcPr>
            <w:tcW w:w="864" w:type="dxa"/>
            <w:tcBorders>
              <w:top w:val="single" w:sz="4" w:space="0" w:color="6E665D"/>
              <w:left w:val="single" w:sz="4" w:space="0" w:color="6E665D"/>
              <w:bottom w:val="single" w:sz="18" w:space="0" w:color="C60C30"/>
              <w:right w:val="nil"/>
            </w:tcBorders>
            <w:shd w:val="clear" w:color="auto" w:fill="6E665D"/>
            <w:noWrap/>
            <w:vAlign w:val="bottom"/>
          </w:tcPr>
          <w:p w:rsidR="000953AB" w:rsidRPr="00BA3D7A" w:rsidRDefault="000953AB" w:rsidP="000953AB">
            <w:pPr>
              <w:pStyle w:val="Table"/>
              <w:jc w:val="center"/>
              <w:rPr>
                <w:rFonts w:ascii="Arial" w:hAnsi="Arial" w:cs="Arial"/>
                <w:b/>
                <w:color w:val="FFFFFF"/>
                <w:sz w:val="18"/>
                <w:szCs w:val="18"/>
              </w:rPr>
            </w:pPr>
            <w:r w:rsidRPr="00BA3D7A">
              <w:rPr>
                <w:rFonts w:ascii="Arial" w:hAnsi="Arial" w:cs="Arial"/>
                <w:b/>
                <w:color w:val="FFFFFF"/>
                <w:sz w:val="18"/>
                <w:szCs w:val="18"/>
              </w:rPr>
              <w:t>Rank</w:t>
            </w:r>
          </w:p>
        </w:tc>
        <w:tc>
          <w:tcPr>
            <w:tcW w:w="3335" w:type="dxa"/>
            <w:tcBorders>
              <w:top w:val="single" w:sz="4" w:space="0" w:color="6E665D"/>
              <w:left w:val="nil"/>
              <w:bottom w:val="single" w:sz="18" w:space="0" w:color="C60C30"/>
              <w:right w:val="nil"/>
            </w:tcBorders>
            <w:shd w:val="clear" w:color="auto" w:fill="6E665D"/>
            <w:noWrap/>
            <w:vAlign w:val="bottom"/>
          </w:tcPr>
          <w:p w:rsidR="000953AB" w:rsidRPr="00BA3D7A" w:rsidRDefault="000953AB" w:rsidP="000953AB">
            <w:pPr>
              <w:pStyle w:val="Table"/>
              <w:rPr>
                <w:rFonts w:ascii="Arial" w:hAnsi="Arial" w:cs="Arial"/>
                <w:b/>
                <w:color w:val="FFFFFF"/>
                <w:sz w:val="18"/>
                <w:szCs w:val="18"/>
              </w:rPr>
            </w:pPr>
            <w:r w:rsidRPr="00BA3D7A">
              <w:rPr>
                <w:rFonts w:ascii="Arial" w:hAnsi="Arial" w:cs="Arial"/>
                <w:b/>
                <w:color w:val="FFFFFF"/>
                <w:sz w:val="18"/>
                <w:szCs w:val="18"/>
              </w:rPr>
              <w:t>Company</w:t>
            </w:r>
          </w:p>
        </w:tc>
        <w:tc>
          <w:tcPr>
            <w:tcW w:w="1296" w:type="dxa"/>
            <w:tcBorders>
              <w:top w:val="single" w:sz="4" w:space="0" w:color="6E665D"/>
              <w:left w:val="nil"/>
              <w:bottom w:val="single" w:sz="18" w:space="0" w:color="C60C30"/>
              <w:right w:val="nil"/>
            </w:tcBorders>
            <w:shd w:val="clear" w:color="auto" w:fill="6E665D"/>
            <w:noWrap/>
            <w:vAlign w:val="center"/>
          </w:tcPr>
          <w:p w:rsidR="000953AB" w:rsidRPr="00BA3D7A" w:rsidRDefault="000953AB" w:rsidP="000953AB">
            <w:pPr>
              <w:pStyle w:val="Table"/>
              <w:jc w:val="center"/>
              <w:rPr>
                <w:rFonts w:ascii="Arial" w:hAnsi="Arial" w:cs="Arial"/>
                <w:b/>
                <w:color w:val="FFFFFF"/>
                <w:sz w:val="18"/>
                <w:szCs w:val="18"/>
              </w:rPr>
            </w:pPr>
            <w:r w:rsidRPr="00BA3D7A">
              <w:rPr>
                <w:rFonts w:ascii="Arial" w:hAnsi="Arial" w:cs="Arial"/>
                <w:b/>
                <w:color w:val="FFFFFF"/>
                <w:sz w:val="18"/>
                <w:szCs w:val="18"/>
              </w:rPr>
              <w:t>Compliance</w:t>
            </w:r>
          </w:p>
        </w:tc>
        <w:tc>
          <w:tcPr>
            <w:tcW w:w="1296" w:type="dxa"/>
            <w:tcBorders>
              <w:top w:val="single" w:sz="4" w:space="0" w:color="6E665D"/>
              <w:left w:val="nil"/>
              <w:bottom w:val="single" w:sz="18" w:space="0" w:color="C60C30"/>
              <w:right w:val="nil"/>
            </w:tcBorders>
            <w:shd w:val="clear" w:color="auto" w:fill="6E665D"/>
          </w:tcPr>
          <w:p w:rsidR="000953AB" w:rsidRPr="00BA3D7A" w:rsidRDefault="000953AB" w:rsidP="000953AB">
            <w:pPr>
              <w:pStyle w:val="Table"/>
              <w:jc w:val="center"/>
              <w:rPr>
                <w:rFonts w:ascii="Arial" w:hAnsi="Arial" w:cs="Arial"/>
                <w:b/>
                <w:color w:val="FFFFFF"/>
                <w:sz w:val="18"/>
                <w:szCs w:val="18"/>
              </w:rPr>
            </w:pPr>
            <w:r w:rsidRPr="00BA3D7A">
              <w:rPr>
                <w:rFonts w:ascii="Arial" w:hAnsi="Arial" w:cs="Arial"/>
                <w:b/>
                <w:color w:val="FFFFFF"/>
                <w:sz w:val="18"/>
                <w:szCs w:val="18"/>
              </w:rPr>
              <w:t>Capacity</w:t>
            </w:r>
          </w:p>
        </w:tc>
        <w:tc>
          <w:tcPr>
            <w:tcW w:w="1296" w:type="dxa"/>
            <w:tcBorders>
              <w:top w:val="single" w:sz="4" w:space="0" w:color="6E665D"/>
              <w:left w:val="nil"/>
              <w:bottom w:val="single" w:sz="18" w:space="0" w:color="C60C30"/>
              <w:right w:val="nil"/>
            </w:tcBorders>
            <w:shd w:val="clear" w:color="auto" w:fill="6E665D"/>
          </w:tcPr>
          <w:p w:rsidR="000953AB" w:rsidRPr="00BA3D7A" w:rsidRDefault="000953AB" w:rsidP="000953AB">
            <w:pPr>
              <w:pStyle w:val="Table"/>
              <w:jc w:val="center"/>
              <w:rPr>
                <w:rFonts w:ascii="Arial" w:hAnsi="Arial" w:cs="Arial"/>
                <w:b/>
                <w:color w:val="FFFFFF"/>
                <w:sz w:val="18"/>
                <w:szCs w:val="18"/>
              </w:rPr>
            </w:pPr>
            <w:r w:rsidRPr="00BA3D7A">
              <w:rPr>
                <w:rFonts w:ascii="Arial" w:hAnsi="Arial" w:cs="Arial"/>
                <w:b/>
                <w:color w:val="FFFFFF"/>
                <w:sz w:val="18"/>
                <w:szCs w:val="18"/>
              </w:rPr>
              <w:t>Commitment</w:t>
            </w:r>
          </w:p>
        </w:tc>
        <w:tc>
          <w:tcPr>
            <w:tcW w:w="1296" w:type="dxa"/>
            <w:tcBorders>
              <w:top w:val="single" w:sz="4" w:space="0" w:color="6E665D"/>
              <w:left w:val="nil"/>
              <w:bottom w:val="single" w:sz="18" w:space="0" w:color="C60C30"/>
              <w:right w:val="single" w:sz="4" w:space="0" w:color="6E665D"/>
            </w:tcBorders>
            <w:shd w:val="clear" w:color="auto" w:fill="6E665D"/>
          </w:tcPr>
          <w:p w:rsidR="000953AB" w:rsidRPr="00BA3D7A" w:rsidRDefault="00C212C3" w:rsidP="000953AB">
            <w:pPr>
              <w:pStyle w:val="Table"/>
              <w:jc w:val="center"/>
              <w:rPr>
                <w:rFonts w:ascii="Arial" w:hAnsi="Arial" w:cs="Arial"/>
                <w:b/>
                <w:color w:val="FFFFFF"/>
                <w:sz w:val="18"/>
                <w:szCs w:val="18"/>
              </w:rPr>
            </w:pPr>
            <w:r>
              <w:rPr>
                <w:rFonts w:ascii="Arial" w:hAnsi="Arial" w:cs="Arial"/>
                <w:b/>
                <w:color w:val="FFFFFF"/>
                <w:sz w:val="18"/>
                <w:szCs w:val="18"/>
              </w:rPr>
              <w:t>Plus</w:t>
            </w:r>
          </w:p>
        </w:tc>
      </w:tr>
      <w:tr w:rsidR="000953AB" w:rsidRPr="00BA3D7A" w:rsidTr="000953AB">
        <w:trPr>
          <w:trHeight w:val="170"/>
        </w:trPr>
        <w:tc>
          <w:tcPr>
            <w:tcW w:w="864" w:type="dxa"/>
            <w:tcBorders>
              <w:top w:val="single" w:sz="18" w:space="0" w:color="C60C30"/>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w:t>
            </w:r>
          </w:p>
        </w:tc>
        <w:tc>
          <w:tcPr>
            <w:tcW w:w="3335" w:type="dxa"/>
            <w:tcBorders>
              <w:top w:val="single" w:sz="18" w:space="0" w:color="C60C30"/>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sidRPr="00BA3D7A">
              <w:rPr>
                <w:rFonts w:ascii="Arial" w:hAnsi="Arial" w:cs="Arial"/>
                <w:sz w:val="20"/>
                <w:szCs w:val="20"/>
              </w:rPr>
              <w:t>GlaxoSmithKline</w:t>
            </w:r>
          </w:p>
        </w:tc>
        <w:tc>
          <w:tcPr>
            <w:tcW w:w="1296" w:type="dxa"/>
            <w:tcBorders>
              <w:top w:val="single" w:sz="18" w:space="0" w:color="C60C30"/>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18" w:space="0" w:color="C60C30"/>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18" w:space="0" w:color="C60C30"/>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B</w:t>
            </w:r>
          </w:p>
        </w:tc>
        <w:tc>
          <w:tcPr>
            <w:tcW w:w="1296" w:type="dxa"/>
            <w:tcBorders>
              <w:top w:val="single" w:sz="18" w:space="0" w:color="C60C30"/>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2</w:t>
            </w:r>
          </w:p>
        </w:tc>
        <w:tc>
          <w:tcPr>
            <w:tcW w:w="3335" w:type="dxa"/>
            <w:tcBorders>
              <w:top w:val="single" w:sz="2" w:space="0" w:color="BFBFBF"/>
              <w:left w:val="nil"/>
              <w:bottom w:val="single" w:sz="2" w:space="0" w:color="BFBFBF"/>
              <w:right w:val="nil"/>
            </w:tcBorders>
            <w:shd w:val="clear" w:color="auto" w:fill="FAF9F8"/>
            <w:noWrap/>
            <w:vAlign w:val="bottom"/>
          </w:tcPr>
          <w:p w:rsidR="000953AB" w:rsidRPr="00F82320" w:rsidRDefault="000953AB" w:rsidP="000953AB">
            <w:pPr>
              <w:spacing w:after="0" w:line="240" w:lineRule="auto"/>
              <w:rPr>
                <w:rFonts w:ascii="Arial" w:hAnsi="Arial" w:cs="Arial"/>
                <w:sz w:val="20"/>
                <w:szCs w:val="20"/>
              </w:rPr>
            </w:pPr>
            <w:r w:rsidRPr="00F82320">
              <w:rPr>
                <w:rFonts w:ascii="Arial" w:hAnsi="Arial" w:cs="Arial"/>
                <w:bCs/>
                <w:sz w:val="20"/>
                <w:szCs w:val="20"/>
              </w:rPr>
              <w:t>BHP Billiton</w:t>
            </w:r>
          </w:p>
        </w:tc>
        <w:tc>
          <w:tcPr>
            <w:tcW w:w="1296"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3</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F82320" w:rsidRDefault="000953AB" w:rsidP="000953AB">
            <w:pPr>
              <w:spacing w:after="0" w:line="240" w:lineRule="auto"/>
              <w:rPr>
                <w:rFonts w:ascii="Arial" w:hAnsi="Arial" w:cs="Arial"/>
                <w:sz w:val="20"/>
                <w:szCs w:val="20"/>
              </w:rPr>
            </w:pPr>
            <w:r w:rsidRPr="00F82320">
              <w:rPr>
                <w:rFonts w:ascii="Arial" w:hAnsi="Arial" w:cs="Arial"/>
                <w:bCs/>
                <w:sz w:val="20"/>
                <w:szCs w:val="20"/>
              </w:rPr>
              <w:t>HSBC Holdings</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4</w:t>
            </w:r>
          </w:p>
        </w:tc>
        <w:tc>
          <w:tcPr>
            <w:tcW w:w="3335" w:type="dxa"/>
            <w:tcBorders>
              <w:top w:val="single" w:sz="2" w:space="0" w:color="BFBFBF"/>
              <w:left w:val="nil"/>
              <w:bottom w:val="single" w:sz="2" w:space="0" w:color="BFBFBF"/>
              <w:right w:val="nil"/>
            </w:tcBorders>
            <w:shd w:val="clear" w:color="auto" w:fill="FAF9F8"/>
            <w:noWrap/>
            <w:vAlign w:val="bottom"/>
          </w:tcPr>
          <w:p w:rsidR="000953AB" w:rsidRPr="00F82320" w:rsidRDefault="000953AB" w:rsidP="001869DA">
            <w:pPr>
              <w:spacing w:after="0" w:line="240" w:lineRule="auto"/>
              <w:rPr>
                <w:rFonts w:ascii="Arial" w:hAnsi="Arial" w:cs="Arial"/>
                <w:sz w:val="20"/>
                <w:szCs w:val="20"/>
              </w:rPr>
            </w:pPr>
            <w:r w:rsidRPr="00F82320">
              <w:rPr>
                <w:rFonts w:ascii="Arial" w:hAnsi="Arial" w:cs="Arial"/>
                <w:bCs/>
                <w:sz w:val="20"/>
                <w:szCs w:val="20"/>
              </w:rPr>
              <w:t>Lo</w:t>
            </w:r>
            <w:r w:rsidR="001869DA">
              <w:rPr>
                <w:rFonts w:ascii="Arial" w:hAnsi="Arial" w:cs="Arial"/>
                <w:bCs/>
                <w:sz w:val="20"/>
                <w:szCs w:val="20"/>
              </w:rPr>
              <w:t>n</w:t>
            </w:r>
            <w:r w:rsidRPr="00F82320">
              <w:rPr>
                <w:rFonts w:ascii="Arial" w:hAnsi="Arial" w:cs="Arial"/>
                <w:bCs/>
                <w:sz w:val="20"/>
                <w:szCs w:val="20"/>
              </w:rPr>
              <w:t>min</w:t>
            </w:r>
          </w:p>
        </w:tc>
        <w:tc>
          <w:tcPr>
            <w:tcW w:w="1296"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5</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F82320" w:rsidRDefault="000953AB" w:rsidP="000953AB">
            <w:pPr>
              <w:spacing w:after="0" w:line="240" w:lineRule="auto"/>
              <w:rPr>
                <w:rFonts w:ascii="Arial" w:hAnsi="Arial" w:cs="Arial"/>
                <w:sz w:val="20"/>
                <w:szCs w:val="20"/>
              </w:rPr>
            </w:pPr>
            <w:r w:rsidRPr="00F82320">
              <w:rPr>
                <w:rFonts w:ascii="Arial" w:hAnsi="Arial" w:cs="Arial"/>
                <w:bCs/>
                <w:sz w:val="20"/>
                <w:szCs w:val="20"/>
              </w:rPr>
              <w:t>Rio Tinto</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6</w:t>
            </w:r>
          </w:p>
        </w:tc>
        <w:tc>
          <w:tcPr>
            <w:tcW w:w="3335"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Prudential</w:t>
            </w:r>
          </w:p>
        </w:tc>
        <w:tc>
          <w:tcPr>
            <w:tcW w:w="1296"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7</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sidRPr="00BA3D7A">
              <w:rPr>
                <w:rFonts w:ascii="Arial" w:hAnsi="Arial" w:cs="Arial"/>
                <w:sz w:val="20"/>
                <w:szCs w:val="20"/>
              </w:rPr>
              <w:t>Johnson Matthey</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8</w:t>
            </w:r>
          </w:p>
        </w:tc>
        <w:tc>
          <w:tcPr>
            <w:tcW w:w="3335"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Old Mutual</w:t>
            </w:r>
          </w:p>
        </w:tc>
        <w:tc>
          <w:tcPr>
            <w:tcW w:w="1296"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9</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Standard Life</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10</w:t>
            </w:r>
          </w:p>
        </w:tc>
        <w:tc>
          <w:tcPr>
            <w:tcW w:w="3335"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National Grid</w:t>
            </w:r>
          </w:p>
        </w:tc>
        <w:tc>
          <w:tcPr>
            <w:tcW w:w="1296"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11</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Diageo</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12</w:t>
            </w:r>
          </w:p>
        </w:tc>
        <w:tc>
          <w:tcPr>
            <w:tcW w:w="3335"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Capital Shop</w:t>
            </w:r>
          </w:p>
        </w:tc>
        <w:tc>
          <w:tcPr>
            <w:tcW w:w="1296"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13</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United Utilities Group</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14</w:t>
            </w:r>
          </w:p>
        </w:tc>
        <w:tc>
          <w:tcPr>
            <w:tcW w:w="3335"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rPr>
                <w:rFonts w:ascii="Arial" w:hAnsi="Arial" w:cs="Arial"/>
                <w:sz w:val="20"/>
                <w:szCs w:val="20"/>
              </w:rPr>
            </w:pPr>
            <w:r w:rsidRPr="00BA3D7A">
              <w:rPr>
                <w:rFonts w:ascii="Arial" w:hAnsi="Arial" w:cs="Arial"/>
                <w:sz w:val="20"/>
                <w:szCs w:val="20"/>
              </w:rPr>
              <w:t>I</w:t>
            </w:r>
            <w:r>
              <w:rPr>
                <w:rFonts w:ascii="Arial" w:hAnsi="Arial" w:cs="Arial"/>
                <w:sz w:val="20"/>
                <w:szCs w:val="20"/>
              </w:rPr>
              <w:t>mperial Tobacco Group</w:t>
            </w:r>
          </w:p>
        </w:tc>
        <w:tc>
          <w:tcPr>
            <w:tcW w:w="1296" w:type="dxa"/>
            <w:tcBorders>
              <w:top w:val="single" w:sz="2" w:space="0" w:color="BFBFBF"/>
              <w:left w:val="nil"/>
              <w:bottom w:val="single" w:sz="2" w:space="0" w:color="BFBFBF"/>
              <w:right w:val="nil"/>
            </w:tcBorders>
            <w:shd w:val="clear" w:color="auto" w:fill="FAF9F8"/>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15</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Hammerson</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D</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16</w:t>
            </w:r>
          </w:p>
        </w:tc>
        <w:tc>
          <w:tcPr>
            <w:tcW w:w="3335"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Shire</w:t>
            </w:r>
          </w:p>
        </w:tc>
        <w:tc>
          <w:tcPr>
            <w:tcW w:w="1296"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17</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British American Tobacco</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18</w:t>
            </w:r>
          </w:p>
        </w:tc>
        <w:tc>
          <w:tcPr>
            <w:tcW w:w="3335"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Scottish &amp; Southern</w:t>
            </w:r>
          </w:p>
        </w:tc>
        <w:tc>
          <w:tcPr>
            <w:tcW w:w="1296"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19</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InterContinental Hotels Group</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20</w:t>
            </w:r>
          </w:p>
        </w:tc>
        <w:tc>
          <w:tcPr>
            <w:tcW w:w="3335"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Schroders</w:t>
            </w:r>
          </w:p>
        </w:tc>
        <w:tc>
          <w:tcPr>
            <w:tcW w:w="1296"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D</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21</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SABMiller</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D</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22</w:t>
            </w:r>
          </w:p>
        </w:tc>
        <w:tc>
          <w:tcPr>
            <w:tcW w:w="3335"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Aviva</w:t>
            </w:r>
          </w:p>
        </w:tc>
        <w:tc>
          <w:tcPr>
            <w:tcW w:w="1296"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w:t>
            </w: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23</w:t>
            </w:r>
          </w:p>
        </w:tc>
        <w:tc>
          <w:tcPr>
            <w:tcW w:w="3335"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Next</w:t>
            </w:r>
          </w:p>
        </w:tc>
        <w:tc>
          <w:tcPr>
            <w:tcW w:w="1296" w:type="dxa"/>
            <w:tcBorders>
              <w:top w:val="single" w:sz="2" w:space="0" w:color="BFBFBF"/>
              <w:left w:val="nil"/>
              <w:bottom w:val="single" w:sz="2" w:space="0" w:color="BFBFBF"/>
              <w:right w:val="nil"/>
            </w:tcBorders>
            <w:shd w:val="clear" w:color="auto" w:fill="ECEAE9"/>
            <w:noWrap/>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24</w:t>
            </w:r>
          </w:p>
        </w:tc>
        <w:tc>
          <w:tcPr>
            <w:tcW w:w="3335"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3i</w:t>
            </w:r>
          </w:p>
        </w:tc>
        <w:tc>
          <w:tcPr>
            <w:tcW w:w="1296" w:type="dxa"/>
            <w:tcBorders>
              <w:top w:val="single" w:sz="2" w:space="0" w:color="BFBFBF"/>
              <w:left w:val="nil"/>
              <w:bottom w:val="single" w:sz="2" w:space="0" w:color="BFBFBF"/>
              <w:right w:val="nil"/>
            </w:tcBorders>
            <w:shd w:val="clear" w:color="auto" w:fill="F9F9F9"/>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0953AB" w:rsidRPr="00BA3D7A" w:rsidRDefault="000953AB" w:rsidP="000953AB">
            <w:pPr>
              <w:spacing w:after="0" w:line="240" w:lineRule="auto"/>
              <w:jc w:val="center"/>
              <w:rPr>
                <w:rFonts w:ascii="Arial" w:hAnsi="Arial" w:cs="Arial"/>
                <w:sz w:val="20"/>
                <w:szCs w:val="20"/>
              </w:rPr>
            </w:pPr>
          </w:p>
        </w:tc>
      </w:tr>
      <w:tr w:rsidR="000953AB" w:rsidRPr="00BA3D7A" w:rsidTr="000953AB">
        <w:trPr>
          <w:trHeight w:val="170"/>
        </w:trPr>
        <w:tc>
          <w:tcPr>
            <w:tcW w:w="864" w:type="dxa"/>
            <w:tcBorders>
              <w:top w:val="single" w:sz="2" w:space="0" w:color="BFBFBF"/>
              <w:left w:val="single" w:sz="4" w:space="0" w:color="6E665D"/>
              <w:bottom w:val="single" w:sz="4" w:space="0" w:color="6E665D"/>
              <w:right w:val="nil"/>
            </w:tcBorders>
            <w:shd w:val="clear" w:color="auto" w:fill="E6E6E6"/>
            <w:noWrap/>
            <w:vAlign w:val="bottom"/>
          </w:tcPr>
          <w:p w:rsidR="000953AB" w:rsidRPr="00BA3D7A" w:rsidRDefault="000953AB" w:rsidP="000953AB">
            <w:pPr>
              <w:pStyle w:val="Table"/>
              <w:jc w:val="center"/>
              <w:rPr>
                <w:rFonts w:ascii="Arial" w:hAnsi="Arial" w:cs="Arial"/>
                <w:b/>
                <w:color w:val="49443E"/>
                <w:sz w:val="18"/>
                <w:szCs w:val="18"/>
              </w:rPr>
            </w:pPr>
            <w:r w:rsidRPr="00BA3D7A">
              <w:rPr>
                <w:rFonts w:ascii="Arial" w:hAnsi="Arial" w:cs="Arial"/>
                <w:b/>
                <w:color w:val="49443E"/>
                <w:sz w:val="18"/>
                <w:szCs w:val="18"/>
              </w:rPr>
              <w:t>25</w:t>
            </w:r>
          </w:p>
        </w:tc>
        <w:tc>
          <w:tcPr>
            <w:tcW w:w="3335" w:type="dxa"/>
            <w:tcBorders>
              <w:top w:val="single" w:sz="2" w:space="0" w:color="BFBFBF"/>
              <w:left w:val="nil"/>
              <w:bottom w:val="single" w:sz="4" w:space="0" w:color="6E665D"/>
              <w:right w:val="nil"/>
            </w:tcBorders>
            <w:shd w:val="clear" w:color="auto" w:fill="E6E6E6"/>
            <w:noWrap/>
            <w:vAlign w:val="bottom"/>
          </w:tcPr>
          <w:p w:rsidR="000953AB" w:rsidRPr="00BA3D7A" w:rsidRDefault="000953AB" w:rsidP="000953AB">
            <w:pPr>
              <w:spacing w:after="0" w:line="240" w:lineRule="auto"/>
              <w:rPr>
                <w:rFonts w:ascii="Arial" w:hAnsi="Arial" w:cs="Arial"/>
                <w:sz w:val="20"/>
                <w:szCs w:val="20"/>
              </w:rPr>
            </w:pPr>
            <w:r>
              <w:rPr>
                <w:rFonts w:ascii="Arial" w:hAnsi="Arial" w:cs="Arial"/>
                <w:sz w:val="20"/>
                <w:szCs w:val="20"/>
              </w:rPr>
              <w:t>BP</w:t>
            </w:r>
          </w:p>
        </w:tc>
        <w:tc>
          <w:tcPr>
            <w:tcW w:w="1296" w:type="dxa"/>
            <w:tcBorders>
              <w:top w:val="single" w:sz="2" w:space="0" w:color="BFBFBF"/>
              <w:left w:val="nil"/>
              <w:bottom w:val="single" w:sz="4" w:space="0" w:color="6E665D"/>
              <w:right w:val="nil"/>
            </w:tcBorders>
            <w:shd w:val="clear" w:color="auto" w:fill="E6E6E6"/>
            <w:noWrap/>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4" w:space="0" w:color="6E665D"/>
              <w:right w:val="nil"/>
            </w:tcBorders>
            <w:shd w:val="clear" w:color="auto" w:fill="E6E6E6"/>
            <w:vAlign w:val="bottom"/>
          </w:tcPr>
          <w:p w:rsidR="000953AB" w:rsidRPr="00BA3D7A" w:rsidRDefault="000953AB" w:rsidP="000953AB">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4" w:space="0" w:color="6E665D"/>
              <w:right w:val="nil"/>
            </w:tcBorders>
            <w:shd w:val="clear" w:color="auto" w:fill="E6E6E6"/>
            <w:vAlign w:val="bottom"/>
          </w:tcPr>
          <w:p w:rsidR="000953AB" w:rsidRPr="00BA3D7A" w:rsidRDefault="000953AB" w:rsidP="000953AB">
            <w:pPr>
              <w:spacing w:after="0" w:line="240" w:lineRule="auto"/>
              <w:jc w:val="center"/>
              <w:rPr>
                <w:rFonts w:ascii="Arial" w:hAnsi="Arial" w:cs="Arial"/>
                <w:sz w:val="20"/>
                <w:szCs w:val="20"/>
              </w:rPr>
            </w:pPr>
            <w:r>
              <w:rPr>
                <w:rFonts w:ascii="Arial" w:hAnsi="Arial" w:cs="Arial"/>
                <w:sz w:val="20"/>
                <w:szCs w:val="20"/>
              </w:rPr>
              <w:t>C</w:t>
            </w:r>
          </w:p>
        </w:tc>
        <w:tc>
          <w:tcPr>
            <w:tcW w:w="1296" w:type="dxa"/>
            <w:tcBorders>
              <w:top w:val="single" w:sz="2" w:space="0" w:color="BFBFBF"/>
              <w:left w:val="nil"/>
              <w:bottom w:val="single" w:sz="4" w:space="0" w:color="6E665D"/>
              <w:right w:val="single" w:sz="4" w:space="0" w:color="6E665D"/>
            </w:tcBorders>
            <w:shd w:val="clear" w:color="auto" w:fill="E6E6E6"/>
            <w:vAlign w:val="bottom"/>
          </w:tcPr>
          <w:p w:rsidR="000953AB" w:rsidRPr="00BA3D7A" w:rsidRDefault="000953AB" w:rsidP="000953AB">
            <w:pPr>
              <w:spacing w:after="0" w:line="240" w:lineRule="auto"/>
              <w:jc w:val="center"/>
              <w:rPr>
                <w:rFonts w:ascii="Arial" w:hAnsi="Arial" w:cs="Arial"/>
                <w:sz w:val="20"/>
                <w:szCs w:val="20"/>
              </w:rPr>
            </w:pPr>
          </w:p>
        </w:tc>
      </w:tr>
    </w:tbl>
    <w:p w:rsidR="000953AB" w:rsidRPr="00BA3D7A" w:rsidRDefault="000953AB" w:rsidP="00A90EBF">
      <w:pPr>
        <w:pStyle w:val="Head2"/>
        <w:spacing w:after="480"/>
        <w:rPr>
          <w:rFonts w:ascii="Arial" w:hAnsi="Arial" w:cs="Arial"/>
        </w:rPr>
      </w:pPr>
    </w:p>
    <w:p w:rsidR="00C02661" w:rsidRPr="00BA3D7A" w:rsidRDefault="00432EA1" w:rsidP="00C278BA">
      <w:pPr>
        <w:pStyle w:val="Head2"/>
        <w:spacing w:after="480"/>
        <w:rPr>
          <w:rFonts w:ascii="Arial" w:hAnsi="Arial" w:cs="Arial"/>
        </w:rPr>
      </w:pPr>
      <w:r w:rsidRPr="00C278BA">
        <w:rPr>
          <w:rFonts w:ascii="Arial" w:hAnsi="Arial" w:cs="Arial"/>
          <w:b/>
          <w:color w:val="C00000"/>
        </w:rPr>
        <w:t>4</w:t>
      </w:r>
      <w:r w:rsidR="00C02661" w:rsidRPr="00C278BA">
        <w:rPr>
          <w:rFonts w:ascii="Arial" w:hAnsi="Arial" w:cs="Arial"/>
          <w:b/>
          <w:color w:val="C00000"/>
        </w:rPr>
        <w:t>.</w:t>
      </w:r>
      <w:r w:rsidR="004A3A91" w:rsidRPr="00C278BA">
        <w:rPr>
          <w:rFonts w:ascii="Arial" w:hAnsi="Arial" w:cs="Arial"/>
          <w:b/>
          <w:color w:val="C00000"/>
        </w:rPr>
        <w:t xml:space="preserve"> </w:t>
      </w:r>
      <w:r w:rsidR="00126EB0" w:rsidRPr="00C278BA">
        <w:rPr>
          <w:rFonts w:ascii="Arial" w:hAnsi="Arial" w:cs="Arial"/>
          <w:b/>
          <w:color w:val="C00000"/>
        </w:rPr>
        <w:t>2</w:t>
      </w:r>
      <w:r w:rsidR="00C02661" w:rsidRPr="00C278BA">
        <w:rPr>
          <w:rFonts w:ascii="Arial" w:hAnsi="Arial" w:cs="Arial"/>
          <w:b/>
          <w:color w:val="C00000"/>
        </w:rPr>
        <w:t xml:space="preserve"> The FTSE RGI Top 25 in 2010</w:t>
      </w:r>
    </w:p>
    <w:tbl>
      <w:tblPr>
        <w:tblW w:w="9383" w:type="dxa"/>
        <w:tblInd w:w="108" w:type="dxa"/>
        <w:shd w:val="clear" w:color="auto" w:fill="ECEAE9"/>
        <w:tblCellMar>
          <w:top w:w="72" w:type="dxa"/>
          <w:left w:w="72" w:type="dxa"/>
          <w:bottom w:w="72" w:type="dxa"/>
          <w:right w:w="72" w:type="dxa"/>
        </w:tblCellMar>
        <w:tblLook w:val="00A0"/>
      </w:tblPr>
      <w:tblGrid>
        <w:gridCol w:w="864"/>
        <w:gridCol w:w="3335"/>
        <w:gridCol w:w="1296"/>
        <w:gridCol w:w="1296"/>
        <w:gridCol w:w="1296"/>
        <w:gridCol w:w="1296"/>
      </w:tblGrid>
      <w:tr w:rsidR="00C02661" w:rsidRPr="00BA3D7A" w:rsidTr="006C3A7A">
        <w:trPr>
          <w:trHeight w:val="170"/>
          <w:tblHeader/>
        </w:trPr>
        <w:tc>
          <w:tcPr>
            <w:tcW w:w="864" w:type="dxa"/>
            <w:tcBorders>
              <w:top w:val="single" w:sz="4" w:space="0" w:color="6E665D"/>
              <w:left w:val="single" w:sz="4" w:space="0" w:color="6E665D"/>
              <w:bottom w:val="single" w:sz="18" w:space="0" w:color="C60C30"/>
              <w:right w:val="nil"/>
            </w:tcBorders>
            <w:shd w:val="clear" w:color="auto" w:fill="6E665D"/>
            <w:noWrap/>
            <w:vAlign w:val="bottom"/>
          </w:tcPr>
          <w:p w:rsidR="00C02661" w:rsidRPr="00BA3D7A" w:rsidRDefault="00C02661" w:rsidP="006C3A7A">
            <w:pPr>
              <w:pStyle w:val="Table"/>
              <w:jc w:val="center"/>
              <w:rPr>
                <w:rFonts w:ascii="Arial" w:hAnsi="Arial" w:cs="Arial"/>
                <w:b/>
                <w:color w:val="FFFFFF"/>
                <w:sz w:val="18"/>
                <w:szCs w:val="18"/>
              </w:rPr>
            </w:pPr>
            <w:r w:rsidRPr="00BA3D7A">
              <w:rPr>
                <w:rFonts w:ascii="Arial" w:hAnsi="Arial" w:cs="Arial"/>
                <w:b/>
                <w:color w:val="FFFFFF"/>
                <w:sz w:val="18"/>
                <w:szCs w:val="18"/>
              </w:rPr>
              <w:t>Rank</w:t>
            </w:r>
          </w:p>
        </w:tc>
        <w:tc>
          <w:tcPr>
            <w:tcW w:w="3335" w:type="dxa"/>
            <w:tcBorders>
              <w:top w:val="single" w:sz="4" w:space="0" w:color="6E665D"/>
              <w:left w:val="nil"/>
              <w:bottom w:val="single" w:sz="18" w:space="0" w:color="C60C30"/>
              <w:right w:val="nil"/>
            </w:tcBorders>
            <w:shd w:val="clear" w:color="auto" w:fill="6E665D"/>
            <w:noWrap/>
            <w:vAlign w:val="bottom"/>
          </w:tcPr>
          <w:p w:rsidR="00C02661" w:rsidRPr="00BA3D7A" w:rsidRDefault="00C02661" w:rsidP="006C3A7A">
            <w:pPr>
              <w:pStyle w:val="Table"/>
              <w:rPr>
                <w:rFonts w:ascii="Arial" w:hAnsi="Arial" w:cs="Arial"/>
                <w:b/>
                <w:color w:val="FFFFFF"/>
                <w:sz w:val="18"/>
                <w:szCs w:val="18"/>
              </w:rPr>
            </w:pPr>
            <w:r w:rsidRPr="00BA3D7A">
              <w:rPr>
                <w:rFonts w:ascii="Arial" w:hAnsi="Arial" w:cs="Arial"/>
                <w:b/>
                <w:color w:val="FFFFFF"/>
                <w:sz w:val="18"/>
                <w:szCs w:val="18"/>
              </w:rPr>
              <w:t>Company</w:t>
            </w:r>
          </w:p>
        </w:tc>
        <w:tc>
          <w:tcPr>
            <w:tcW w:w="1296" w:type="dxa"/>
            <w:tcBorders>
              <w:top w:val="single" w:sz="4" w:space="0" w:color="6E665D"/>
              <w:left w:val="nil"/>
              <w:bottom w:val="single" w:sz="18" w:space="0" w:color="C60C30"/>
              <w:right w:val="nil"/>
            </w:tcBorders>
            <w:shd w:val="clear" w:color="auto" w:fill="6E665D"/>
            <w:noWrap/>
            <w:vAlign w:val="center"/>
          </w:tcPr>
          <w:p w:rsidR="00C02661" w:rsidRPr="00BA3D7A" w:rsidRDefault="00C02661" w:rsidP="006C3A7A">
            <w:pPr>
              <w:pStyle w:val="Table"/>
              <w:jc w:val="center"/>
              <w:rPr>
                <w:rFonts w:ascii="Arial" w:hAnsi="Arial" w:cs="Arial"/>
                <w:b/>
                <w:color w:val="FFFFFF"/>
                <w:sz w:val="18"/>
                <w:szCs w:val="18"/>
              </w:rPr>
            </w:pPr>
            <w:r w:rsidRPr="00BA3D7A">
              <w:rPr>
                <w:rFonts w:ascii="Arial" w:hAnsi="Arial" w:cs="Arial"/>
                <w:b/>
                <w:color w:val="FFFFFF"/>
                <w:sz w:val="18"/>
                <w:szCs w:val="18"/>
              </w:rPr>
              <w:t>Compliance</w:t>
            </w:r>
          </w:p>
        </w:tc>
        <w:tc>
          <w:tcPr>
            <w:tcW w:w="1296" w:type="dxa"/>
            <w:tcBorders>
              <w:top w:val="single" w:sz="4" w:space="0" w:color="6E665D"/>
              <w:left w:val="nil"/>
              <w:bottom w:val="single" w:sz="18" w:space="0" w:color="C60C30"/>
              <w:right w:val="nil"/>
            </w:tcBorders>
            <w:shd w:val="clear" w:color="auto" w:fill="6E665D"/>
          </w:tcPr>
          <w:p w:rsidR="00C02661" w:rsidRPr="00BA3D7A" w:rsidRDefault="00C02661" w:rsidP="006C3A7A">
            <w:pPr>
              <w:pStyle w:val="Table"/>
              <w:jc w:val="center"/>
              <w:rPr>
                <w:rFonts w:ascii="Arial" w:hAnsi="Arial" w:cs="Arial"/>
                <w:b/>
                <w:color w:val="FFFFFF"/>
                <w:sz w:val="18"/>
                <w:szCs w:val="18"/>
              </w:rPr>
            </w:pPr>
            <w:r w:rsidRPr="00BA3D7A">
              <w:rPr>
                <w:rFonts w:ascii="Arial" w:hAnsi="Arial" w:cs="Arial"/>
                <w:b/>
                <w:color w:val="FFFFFF"/>
                <w:sz w:val="18"/>
                <w:szCs w:val="18"/>
              </w:rPr>
              <w:t>Capacity</w:t>
            </w:r>
          </w:p>
        </w:tc>
        <w:tc>
          <w:tcPr>
            <w:tcW w:w="1296" w:type="dxa"/>
            <w:tcBorders>
              <w:top w:val="single" w:sz="4" w:space="0" w:color="6E665D"/>
              <w:left w:val="nil"/>
              <w:bottom w:val="single" w:sz="18" w:space="0" w:color="C60C30"/>
              <w:right w:val="nil"/>
            </w:tcBorders>
            <w:shd w:val="clear" w:color="auto" w:fill="6E665D"/>
          </w:tcPr>
          <w:p w:rsidR="00C02661" w:rsidRPr="00BA3D7A" w:rsidRDefault="00C02661" w:rsidP="006C3A7A">
            <w:pPr>
              <w:pStyle w:val="Table"/>
              <w:jc w:val="center"/>
              <w:rPr>
                <w:rFonts w:ascii="Arial" w:hAnsi="Arial" w:cs="Arial"/>
                <w:b/>
                <w:color w:val="FFFFFF"/>
                <w:sz w:val="18"/>
                <w:szCs w:val="18"/>
              </w:rPr>
            </w:pPr>
            <w:r w:rsidRPr="00BA3D7A">
              <w:rPr>
                <w:rFonts w:ascii="Arial" w:hAnsi="Arial" w:cs="Arial"/>
                <w:b/>
                <w:color w:val="FFFFFF"/>
                <w:sz w:val="18"/>
                <w:szCs w:val="18"/>
              </w:rPr>
              <w:t>Commitment</w:t>
            </w:r>
          </w:p>
        </w:tc>
        <w:tc>
          <w:tcPr>
            <w:tcW w:w="1296" w:type="dxa"/>
            <w:tcBorders>
              <w:top w:val="single" w:sz="4" w:space="0" w:color="6E665D"/>
              <w:left w:val="nil"/>
              <w:bottom w:val="single" w:sz="18" w:space="0" w:color="C60C30"/>
              <w:right w:val="single" w:sz="4" w:space="0" w:color="6E665D"/>
            </w:tcBorders>
            <w:shd w:val="clear" w:color="auto" w:fill="6E665D"/>
          </w:tcPr>
          <w:p w:rsidR="00C02661" w:rsidRPr="00BA3D7A" w:rsidRDefault="00C212C3" w:rsidP="006C3A7A">
            <w:pPr>
              <w:pStyle w:val="Table"/>
              <w:jc w:val="center"/>
              <w:rPr>
                <w:rFonts w:ascii="Arial" w:hAnsi="Arial" w:cs="Arial"/>
                <w:b/>
                <w:color w:val="FFFFFF"/>
                <w:sz w:val="18"/>
                <w:szCs w:val="18"/>
              </w:rPr>
            </w:pPr>
            <w:r>
              <w:rPr>
                <w:rFonts w:ascii="Arial" w:hAnsi="Arial" w:cs="Arial"/>
                <w:b/>
                <w:color w:val="FFFFFF"/>
                <w:sz w:val="18"/>
                <w:szCs w:val="18"/>
              </w:rPr>
              <w:t>Plus</w:t>
            </w:r>
          </w:p>
        </w:tc>
      </w:tr>
      <w:tr w:rsidR="00C02661" w:rsidRPr="00BA3D7A" w:rsidTr="006C3A7A">
        <w:trPr>
          <w:trHeight w:val="170"/>
        </w:trPr>
        <w:tc>
          <w:tcPr>
            <w:tcW w:w="864" w:type="dxa"/>
            <w:tcBorders>
              <w:top w:val="single" w:sz="18" w:space="0" w:color="C60C30"/>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w:t>
            </w:r>
          </w:p>
        </w:tc>
        <w:tc>
          <w:tcPr>
            <w:tcW w:w="3335" w:type="dxa"/>
            <w:tcBorders>
              <w:top w:val="single" w:sz="18" w:space="0" w:color="C60C30"/>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GlaxoSmithKline</w:t>
            </w:r>
          </w:p>
        </w:tc>
        <w:tc>
          <w:tcPr>
            <w:tcW w:w="1296" w:type="dxa"/>
            <w:tcBorders>
              <w:top w:val="single" w:sz="18" w:space="0" w:color="C60C30"/>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18" w:space="0" w:color="C60C30"/>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18" w:space="0" w:color="C60C30"/>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18" w:space="0" w:color="C60C30"/>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2</w:t>
            </w:r>
          </w:p>
        </w:tc>
        <w:tc>
          <w:tcPr>
            <w:tcW w:w="3335"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Diageo</w:t>
            </w:r>
          </w:p>
        </w:tc>
        <w:tc>
          <w:tcPr>
            <w:tcW w:w="1296"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3</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Standard Life</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4</w:t>
            </w:r>
          </w:p>
        </w:tc>
        <w:tc>
          <w:tcPr>
            <w:tcW w:w="3335"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HSBC Holdings</w:t>
            </w:r>
          </w:p>
        </w:tc>
        <w:tc>
          <w:tcPr>
            <w:tcW w:w="1296"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5</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BHP Billiton</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6</w:t>
            </w:r>
          </w:p>
        </w:tc>
        <w:tc>
          <w:tcPr>
            <w:tcW w:w="3335"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Hammerson</w:t>
            </w:r>
          </w:p>
        </w:tc>
        <w:tc>
          <w:tcPr>
            <w:tcW w:w="1296"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7</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Johnson Matthey</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8</w:t>
            </w:r>
          </w:p>
        </w:tc>
        <w:tc>
          <w:tcPr>
            <w:tcW w:w="3335"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Aviva</w:t>
            </w:r>
          </w:p>
        </w:tc>
        <w:tc>
          <w:tcPr>
            <w:tcW w:w="1296"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9</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Lonmin</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10</w:t>
            </w:r>
          </w:p>
        </w:tc>
        <w:tc>
          <w:tcPr>
            <w:tcW w:w="3335"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Old Mutual</w:t>
            </w:r>
          </w:p>
        </w:tc>
        <w:tc>
          <w:tcPr>
            <w:tcW w:w="1296"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11</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United Utilities Group</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12</w:t>
            </w:r>
          </w:p>
        </w:tc>
        <w:tc>
          <w:tcPr>
            <w:tcW w:w="3335"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British Airways</w:t>
            </w:r>
          </w:p>
        </w:tc>
        <w:tc>
          <w:tcPr>
            <w:tcW w:w="1296"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13</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Standard Chartered</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14</w:t>
            </w:r>
          </w:p>
        </w:tc>
        <w:tc>
          <w:tcPr>
            <w:tcW w:w="3335"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Invensys</w:t>
            </w:r>
          </w:p>
        </w:tc>
        <w:tc>
          <w:tcPr>
            <w:tcW w:w="1296" w:type="dxa"/>
            <w:tcBorders>
              <w:top w:val="single" w:sz="2" w:space="0" w:color="BFBFBF"/>
              <w:left w:val="nil"/>
              <w:bottom w:val="single" w:sz="2" w:space="0" w:color="BFBFBF"/>
              <w:right w:val="nil"/>
            </w:tcBorders>
            <w:shd w:val="clear" w:color="auto" w:fill="FAF9F8"/>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AF9F8"/>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15</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Rio Tinto</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16</w:t>
            </w:r>
          </w:p>
        </w:tc>
        <w:tc>
          <w:tcPr>
            <w:tcW w:w="3335"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Vodafone Group</w:t>
            </w:r>
          </w:p>
        </w:tc>
        <w:tc>
          <w:tcPr>
            <w:tcW w:w="1296"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17</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Man Group</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18</w:t>
            </w:r>
          </w:p>
        </w:tc>
        <w:tc>
          <w:tcPr>
            <w:tcW w:w="3335"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Barclays</w:t>
            </w:r>
          </w:p>
        </w:tc>
        <w:tc>
          <w:tcPr>
            <w:tcW w:w="1296"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19</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BT Group</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20</w:t>
            </w:r>
          </w:p>
        </w:tc>
        <w:tc>
          <w:tcPr>
            <w:tcW w:w="3335"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Reed Elsevier</w:t>
            </w:r>
          </w:p>
        </w:tc>
        <w:tc>
          <w:tcPr>
            <w:tcW w:w="1296"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21</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Prudential</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22</w:t>
            </w:r>
          </w:p>
        </w:tc>
        <w:tc>
          <w:tcPr>
            <w:tcW w:w="3335"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National Grid</w:t>
            </w:r>
          </w:p>
        </w:tc>
        <w:tc>
          <w:tcPr>
            <w:tcW w:w="1296"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D</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23</w:t>
            </w:r>
          </w:p>
        </w:tc>
        <w:tc>
          <w:tcPr>
            <w:tcW w:w="3335"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Cobham</w:t>
            </w:r>
          </w:p>
        </w:tc>
        <w:tc>
          <w:tcPr>
            <w:tcW w:w="1296" w:type="dxa"/>
            <w:tcBorders>
              <w:top w:val="single" w:sz="2" w:space="0" w:color="BFBFBF"/>
              <w:left w:val="nil"/>
              <w:bottom w:val="single" w:sz="2" w:space="0" w:color="BFBFBF"/>
              <w:right w:val="nil"/>
            </w:tcBorders>
            <w:shd w:val="clear" w:color="auto" w:fill="ECEAE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ECEAE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24</w:t>
            </w:r>
          </w:p>
        </w:tc>
        <w:tc>
          <w:tcPr>
            <w:tcW w:w="3335"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InterContinental Hotels Group</w:t>
            </w:r>
          </w:p>
        </w:tc>
        <w:tc>
          <w:tcPr>
            <w:tcW w:w="1296" w:type="dxa"/>
            <w:tcBorders>
              <w:top w:val="single" w:sz="2" w:space="0" w:color="BFBFBF"/>
              <w:left w:val="nil"/>
              <w:bottom w:val="single" w:sz="2" w:space="0" w:color="BFBFBF"/>
              <w:right w:val="nil"/>
            </w:tcBorders>
            <w:shd w:val="clear" w:color="auto" w:fill="F9F9F9"/>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nil"/>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C</w:t>
            </w:r>
          </w:p>
        </w:tc>
        <w:tc>
          <w:tcPr>
            <w:tcW w:w="1296" w:type="dxa"/>
            <w:tcBorders>
              <w:top w:val="single" w:sz="2" w:space="0" w:color="BFBFBF"/>
              <w:left w:val="nil"/>
              <w:bottom w:val="single" w:sz="2" w:space="0" w:color="BFBFBF"/>
              <w:right w:val="single" w:sz="4" w:space="0" w:color="6E665D"/>
            </w:tcBorders>
            <w:shd w:val="clear" w:color="auto" w:fill="F9F9F9"/>
            <w:vAlign w:val="bottom"/>
          </w:tcPr>
          <w:p w:rsidR="00C02661" w:rsidRPr="00BA3D7A" w:rsidRDefault="00C02661" w:rsidP="006C3A7A">
            <w:pPr>
              <w:spacing w:after="0" w:line="240" w:lineRule="auto"/>
              <w:jc w:val="center"/>
              <w:rPr>
                <w:rFonts w:ascii="Arial" w:hAnsi="Arial" w:cs="Arial"/>
                <w:sz w:val="20"/>
                <w:szCs w:val="20"/>
              </w:rPr>
            </w:pPr>
          </w:p>
        </w:tc>
      </w:tr>
      <w:tr w:rsidR="00C02661" w:rsidRPr="00BA3D7A" w:rsidTr="006C3A7A">
        <w:trPr>
          <w:trHeight w:val="170"/>
        </w:trPr>
        <w:tc>
          <w:tcPr>
            <w:tcW w:w="864" w:type="dxa"/>
            <w:tcBorders>
              <w:top w:val="single" w:sz="2" w:space="0" w:color="BFBFBF"/>
              <w:left w:val="single" w:sz="4" w:space="0" w:color="6E665D"/>
              <w:bottom w:val="single" w:sz="4" w:space="0" w:color="6E665D"/>
              <w:right w:val="nil"/>
            </w:tcBorders>
            <w:shd w:val="clear" w:color="auto" w:fill="E6E6E6"/>
            <w:noWrap/>
            <w:vAlign w:val="bottom"/>
          </w:tcPr>
          <w:p w:rsidR="00C02661" w:rsidRPr="00BA3D7A" w:rsidRDefault="00C02661" w:rsidP="006C3A7A">
            <w:pPr>
              <w:pStyle w:val="Table"/>
              <w:jc w:val="center"/>
              <w:rPr>
                <w:rFonts w:ascii="Arial" w:hAnsi="Arial" w:cs="Arial"/>
                <w:b/>
                <w:color w:val="49443E"/>
                <w:sz w:val="18"/>
                <w:szCs w:val="18"/>
              </w:rPr>
            </w:pPr>
            <w:r w:rsidRPr="00BA3D7A">
              <w:rPr>
                <w:rFonts w:ascii="Arial" w:hAnsi="Arial" w:cs="Arial"/>
                <w:b/>
                <w:color w:val="49443E"/>
                <w:sz w:val="18"/>
                <w:szCs w:val="18"/>
              </w:rPr>
              <w:t>25</w:t>
            </w:r>
          </w:p>
        </w:tc>
        <w:tc>
          <w:tcPr>
            <w:tcW w:w="3335" w:type="dxa"/>
            <w:tcBorders>
              <w:top w:val="single" w:sz="2" w:space="0" w:color="BFBFBF"/>
              <w:left w:val="nil"/>
              <w:bottom w:val="single" w:sz="4" w:space="0" w:color="6E665D"/>
              <w:right w:val="nil"/>
            </w:tcBorders>
            <w:shd w:val="clear" w:color="auto" w:fill="E6E6E6"/>
            <w:noWrap/>
            <w:vAlign w:val="bottom"/>
          </w:tcPr>
          <w:p w:rsidR="00C02661" w:rsidRPr="00BA3D7A" w:rsidRDefault="00C02661" w:rsidP="006C3A7A">
            <w:pPr>
              <w:spacing w:after="0" w:line="240" w:lineRule="auto"/>
              <w:rPr>
                <w:rFonts w:ascii="Arial" w:hAnsi="Arial" w:cs="Arial"/>
                <w:sz w:val="20"/>
                <w:szCs w:val="20"/>
              </w:rPr>
            </w:pPr>
            <w:r w:rsidRPr="00BA3D7A">
              <w:rPr>
                <w:rFonts w:ascii="Arial" w:hAnsi="Arial" w:cs="Arial"/>
                <w:sz w:val="20"/>
                <w:szCs w:val="20"/>
              </w:rPr>
              <w:t>Lloyds Banking Group</w:t>
            </w:r>
          </w:p>
        </w:tc>
        <w:tc>
          <w:tcPr>
            <w:tcW w:w="1296" w:type="dxa"/>
            <w:tcBorders>
              <w:top w:val="single" w:sz="2" w:space="0" w:color="BFBFBF"/>
              <w:left w:val="nil"/>
              <w:bottom w:val="single" w:sz="4" w:space="0" w:color="6E665D"/>
              <w:right w:val="nil"/>
            </w:tcBorders>
            <w:shd w:val="clear" w:color="auto" w:fill="E6E6E6"/>
            <w:noWrap/>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A</w:t>
            </w:r>
          </w:p>
        </w:tc>
        <w:tc>
          <w:tcPr>
            <w:tcW w:w="1296" w:type="dxa"/>
            <w:tcBorders>
              <w:top w:val="single" w:sz="2" w:space="0" w:color="BFBFBF"/>
              <w:left w:val="nil"/>
              <w:bottom w:val="single" w:sz="4" w:space="0" w:color="6E665D"/>
              <w:right w:val="nil"/>
            </w:tcBorders>
            <w:shd w:val="clear" w:color="auto" w:fill="E6E6E6"/>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B</w:t>
            </w:r>
          </w:p>
        </w:tc>
        <w:tc>
          <w:tcPr>
            <w:tcW w:w="1296" w:type="dxa"/>
            <w:tcBorders>
              <w:top w:val="single" w:sz="2" w:space="0" w:color="BFBFBF"/>
              <w:left w:val="nil"/>
              <w:bottom w:val="single" w:sz="4" w:space="0" w:color="6E665D"/>
              <w:right w:val="nil"/>
            </w:tcBorders>
            <w:shd w:val="clear" w:color="auto" w:fill="E6E6E6"/>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D</w:t>
            </w:r>
          </w:p>
        </w:tc>
        <w:tc>
          <w:tcPr>
            <w:tcW w:w="1296" w:type="dxa"/>
            <w:tcBorders>
              <w:top w:val="single" w:sz="2" w:space="0" w:color="BFBFBF"/>
              <w:left w:val="nil"/>
              <w:bottom w:val="single" w:sz="4" w:space="0" w:color="6E665D"/>
              <w:right w:val="single" w:sz="4" w:space="0" w:color="6E665D"/>
            </w:tcBorders>
            <w:shd w:val="clear" w:color="auto" w:fill="E6E6E6"/>
            <w:vAlign w:val="bottom"/>
          </w:tcPr>
          <w:p w:rsidR="00C02661" w:rsidRPr="00BA3D7A" w:rsidRDefault="00C02661" w:rsidP="006C3A7A">
            <w:pPr>
              <w:spacing w:after="0" w:line="240" w:lineRule="auto"/>
              <w:jc w:val="center"/>
              <w:rPr>
                <w:rFonts w:ascii="Arial" w:hAnsi="Arial" w:cs="Arial"/>
                <w:sz w:val="20"/>
                <w:szCs w:val="20"/>
              </w:rPr>
            </w:pPr>
            <w:r w:rsidRPr="00BA3D7A">
              <w:rPr>
                <w:rFonts w:ascii="Arial" w:hAnsi="Arial" w:cs="Arial"/>
                <w:sz w:val="20"/>
                <w:szCs w:val="20"/>
              </w:rPr>
              <w:t>+</w:t>
            </w:r>
          </w:p>
        </w:tc>
      </w:tr>
    </w:tbl>
    <w:p w:rsidR="00827CEC" w:rsidRPr="00C278BA" w:rsidRDefault="003A3187" w:rsidP="00A40F10">
      <w:pPr>
        <w:pStyle w:val="Head2"/>
        <w:rPr>
          <w:rFonts w:ascii="Arial" w:hAnsi="Arial" w:cs="Arial"/>
          <w:b/>
        </w:rPr>
      </w:pPr>
      <w:r w:rsidRPr="00BA3D7A">
        <w:rPr>
          <w:rFonts w:ascii="Arial" w:hAnsi="Arial" w:cs="Arial"/>
        </w:rPr>
        <w:br w:type="page"/>
      </w:r>
      <w:r w:rsidR="00432EA1" w:rsidRPr="00C278BA">
        <w:rPr>
          <w:rFonts w:ascii="Arial" w:hAnsi="Arial" w:cs="Arial"/>
          <w:b/>
        </w:rPr>
        <w:lastRenderedPageBreak/>
        <w:t>4</w:t>
      </w:r>
      <w:r w:rsidR="00126EB0" w:rsidRPr="00C278BA">
        <w:rPr>
          <w:rFonts w:ascii="Arial" w:hAnsi="Arial" w:cs="Arial"/>
          <w:b/>
        </w:rPr>
        <w:t>.</w:t>
      </w:r>
      <w:r w:rsidR="004A3A91" w:rsidRPr="00C278BA">
        <w:rPr>
          <w:rFonts w:ascii="Arial" w:hAnsi="Arial" w:cs="Arial"/>
          <w:b/>
        </w:rPr>
        <w:t xml:space="preserve"> </w:t>
      </w:r>
      <w:bookmarkStart w:id="11" w:name="_Toc273454138"/>
      <w:r w:rsidR="00126EB0" w:rsidRPr="00C278BA">
        <w:rPr>
          <w:rFonts w:ascii="Arial" w:hAnsi="Arial" w:cs="Arial"/>
          <w:b/>
        </w:rPr>
        <w:t xml:space="preserve">3 </w:t>
      </w:r>
      <w:r w:rsidR="0080106E" w:rsidRPr="00C278BA">
        <w:rPr>
          <w:rFonts w:ascii="Arial" w:hAnsi="Arial" w:cs="Arial"/>
          <w:b/>
        </w:rPr>
        <w:t>The FTSE RGI Top</w:t>
      </w:r>
      <w:r w:rsidRPr="00C278BA">
        <w:rPr>
          <w:rFonts w:ascii="Arial" w:hAnsi="Arial" w:cs="Arial"/>
          <w:b/>
        </w:rPr>
        <w:t xml:space="preserve"> 25 in 2009</w:t>
      </w:r>
      <w:bookmarkEnd w:id="11"/>
    </w:p>
    <w:p w:rsidR="00C278BA" w:rsidRPr="00BA3D7A" w:rsidRDefault="00C278BA" w:rsidP="00A40F10">
      <w:pPr>
        <w:pStyle w:val="Head2"/>
        <w:rPr>
          <w:rFonts w:ascii="Arial" w:hAnsi="Arial" w:cs="Arial"/>
        </w:rPr>
      </w:pPr>
    </w:p>
    <w:tbl>
      <w:tblPr>
        <w:tblW w:w="9383" w:type="dxa"/>
        <w:tblInd w:w="108" w:type="dxa"/>
        <w:shd w:val="clear" w:color="auto" w:fill="ECEAE9"/>
        <w:tblCellMar>
          <w:top w:w="72" w:type="dxa"/>
          <w:left w:w="72" w:type="dxa"/>
          <w:bottom w:w="72" w:type="dxa"/>
          <w:right w:w="72" w:type="dxa"/>
        </w:tblCellMar>
        <w:tblLook w:val="00A0"/>
      </w:tblPr>
      <w:tblGrid>
        <w:gridCol w:w="864"/>
        <w:gridCol w:w="3335"/>
        <w:gridCol w:w="1296"/>
        <w:gridCol w:w="1296"/>
        <w:gridCol w:w="1296"/>
        <w:gridCol w:w="1296"/>
      </w:tblGrid>
      <w:tr w:rsidR="003A3187" w:rsidRPr="00BA3D7A" w:rsidTr="00A90EBF">
        <w:trPr>
          <w:trHeight w:val="170"/>
          <w:tblHeader/>
        </w:trPr>
        <w:tc>
          <w:tcPr>
            <w:tcW w:w="864" w:type="dxa"/>
            <w:tcBorders>
              <w:top w:val="single" w:sz="4" w:space="0" w:color="6E665D"/>
              <w:left w:val="single" w:sz="4" w:space="0" w:color="6E665D"/>
              <w:bottom w:val="single" w:sz="18" w:space="0" w:color="C60C30"/>
              <w:right w:val="nil"/>
            </w:tcBorders>
            <w:shd w:val="clear" w:color="auto" w:fill="6E665D"/>
            <w:noWrap/>
            <w:vAlign w:val="bottom"/>
          </w:tcPr>
          <w:p w:rsidR="003A3187" w:rsidRPr="00BA3D7A" w:rsidRDefault="003A3187" w:rsidP="00E17608">
            <w:pPr>
              <w:pStyle w:val="Table"/>
              <w:jc w:val="center"/>
              <w:rPr>
                <w:rFonts w:ascii="Arial" w:hAnsi="Arial" w:cs="Arial"/>
                <w:b/>
                <w:color w:val="FFFFFF"/>
                <w:sz w:val="18"/>
                <w:szCs w:val="18"/>
              </w:rPr>
            </w:pPr>
            <w:r w:rsidRPr="00BA3D7A">
              <w:rPr>
                <w:rFonts w:ascii="Arial" w:hAnsi="Arial" w:cs="Arial"/>
                <w:b/>
                <w:color w:val="FFFFFF"/>
                <w:sz w:val="18"/>
                <w:szCs w:val="18"/>
              </w:rPr>
              <w:t>Rank</w:t>
            </w:r>
          </w:p>
        </w:tc>
        <w:tc>
          <w:tcPr>
            <w:tcW w:w="3335" w:type="dxa"/>
            <w:tcBorders>
              <w:top w:val="single" w:sz="4" w:space="0" w:color="6E665D"/>
              <w:left w:val="nil"/>
              <w:bottom w:val="single" w:sz="18" w:space="0" w:color="C60C30"/>
              <w:right w:val="nil"/>
            </w:tcBorders>
            <w:shd w:val="clear" w:color="auto" w:fill="6E665D"/>
            <w:noWrap/>
            <w:vAlign w:val="bottom"/>
          </w:tcPr>
          <w:p w:rsidR="003A3187" w:rsidRPr="00BA3D7A" w:rsidRDefault="003A3187" w:rsidP="00E17608">
            <w:pPr>
              <w:pStyle w:val="Table"/>
              <w:rPr>
                <w:rFonts w:ascii="Arial" w:hAnsi="Arial" w:cs="Arial"/>
                <w:b/>
                <w:color w:val="FFFFFF"/>
                <w:sz w:val="18"/>
                <w:szCs w:val="18"/>
              </w:rPr>
            </w:pPr>
            <w:r w:rsidRPr="00BA3D7A">
              <w:rPr>
                <w:rFonts w:ascii="Arial" w:hAnsi="Arial" w:cs="Arial"/>
                <w:b/>
                <w:color w:val="FFFFFF"/>
                <w:sz w:val="18"/>
                <w:szCs w:val="18"/>
              </w:rPr>
              <w:t>Company</w:t>
            </w:r>
          </w:p>
        </w:tc>
        <w:tc>
          <w:tcPr>
            <w:tcW w:w="1296" w:type="dxa"/>
            <w:tcBorders>
              <w:top w:val="single" w:sz="4" w:space="0" w:color="6E665D"/>
              <w:left w:val="nil"/>
              <w:bottom w:val="single" w:sz="18" w:space="0" w:color="C60C30"/>
              <w:right w:val="nil"/>
            </w:tcBorders>
            <w:shd w:val="clear" w:color="auto" w:fill="6E665D"/>
            <w:noWrap/>
            <w:vAlign w:val="center"/>
          </w:tcPr>
          <w:p w:rsidR="003A3187" w:rsidRPr="00BA3D7A" w:rsidRDefault="003A3187" w:rsidP="00E17608">
            <w:pPr>
              <w:pStyle w:val="Table"/>
              <w:jc w:val="center"/>
              <w:rPr>
                <w:rFonts w:ascii="Arial" w:hAnsi="Arial" w:cs="Arial"/>
                <w:b/>
                <w:color w:val="FFFFFF"/>
                <w:sz w:val="18"/>
                <w:szCs w:val="18"/>
              </w:rPr>
            </w:pPr>
            <w:r w:rsidRPr="00BA3D7A">
              <w:rPr>
                <w:rFonts w:ascii="Arial" w:hAnsi="Arial" w:cs="Arial"/>
                <w:b/>
                <w:color w:val="FFFFFF"/>
                <w:sz w:val="18"/>
                <w:szCs w:val="18"/>
              </w:rPr>
              <w:t>Compliance</w:t>
            </w:r>
          </w:p>
        </w:tc>
        <w:tc>
          <w:tcPr>
            <w:tcW w:w="1296" w:type="dxa"/>
            <w:tcBorders>
              <w:top w:val="single" w:sz="4" w:space="0" w:color="6E665D"/>
              <w:left w:val="nil"/>
              <w:bottom w:val="single" w:sz="18" w:space="0" w:color="C60C30"/>
              <w:right w:val="nil"/>
            </w:tcBorders>
            <w:shd w:val="clear" w:color="auto" w:fill="6E665D"/>
          </w:tcPr>
          <w:p w:rsidR="003A3187" w:rsidRPr="00BA3D7A" w:rsidRDefault="003A3187" w:rsidP="00E17608">
            <w:pPr>
              <w:pStyle w:val="Table"/>
              <w:jc w:val="center"/>
              <w:rPr>
                <w:rFonts w:ascii="Arial" w:hAnsi="Arial" w:cs="Arial"/>
                <w:b/>
                <w:color w:val="FFFFFF"/>
                <w:sz w:val="18"/>
                <w:szCs w:val="18"/>
              </w:rPr>
            </w:pPr>
            <w:r w:rsidRPr="00BA3D7A">
              <w:rPr>
                <w:rFonts w:ascii="Arial" w:hAnsi="Arial" w:cs="Arial"/>
                <w:b/>
                <w:color w:val="FFFFFF"/>
                <w:sz w:val="18"/>
                <w:szCs w:val="18"/>
              </w:rPr>
              <w:t>Capacity</w:t>
            </w:r>
          </w:p>
        </w:tc>
        <w:tc>
          <w:tcPr>
            <w:tcW w:w="1296" w:type="dxa"/>
            <w:tcBorders>
              <w:top w:val="single" w:sz="4" w:space="0" w:color="6E665D"/>
              <w:left w:val="nil"/>
              <w:bottom w:val="single" w:sz="18" w:space="0" w:color="C60C30"/>
              <w:right w:val="nil"/>
            </w:tcBorders>
            <w:shd w:val="clear" w:color="auto" w:fill="6E665D"/>
          </w:tcPr>
          <w:p w:rsidR="003A3187" w:rsidRPr="00BA3D7A" w:rsidRDefault="003A3187" w:rsidP="003A3187">
            <w:pPr>
              <w:pStyle w:val="Table"/>
              <w:jc w:val="center"/>
              <w:rPr>
                <w:rFonts w:ascii="Arial" w:hAnsi="Arial" w:cs="Arial"/>
                <w:b/>
                <w:color w:val="FFFFFF"/>
                <w:sz w:val="18"/>
                <w:szCs w:val="18"/>
              </w:rPr>
            </w:pPr>
            <w:r w:rsidRPr="00BA3D7A">
              <w:rPr>
                <w:rFonts w:ascii="Arial" w:hAnsi="Arial" w:cs="Arial"/>
                <w:b/>
                <w:color w:val="FFFFFF"/>
                <w:sz w:val="18"/>
                <w:szCs w:val="18"/>
              </w:rPr>
              <w:t>Commitment</w:t>
            </w:r>
          </w:p>
        </w:tc>
        <w:tc>
          <w:tcPr>
            <w:tcW w:w="1296" w:type="dxa"/>
            <w:tcBorders>
              <w:top w:val="single" w:sz="4" w:space="0" w:color="6E665D"/>
              <w:left w:val="nil"/>
              <w:bottom w:val="single" w:sz="18" w:space="0" w:color="C60C30"/>
              <w:right w:val="single" w:sz="4" w:space="0" w:color="6E665D"/>
            </w:tcBorders>
            <w:shd w:val="clear" w:color="auto" w:fill="6E665D"/>
          </w:tcPr>
          <w:p w:rsidR="003A3187" w:rsidRPr="00BA3D7A" w:rsidRDefault="00C212C3" w:rsidP="00E17608">
            <w:pPr>
              <w:pStyle w:val="Table"/>
              <w:jc w:val="center"/>
              <w:rPr>
                <w:rFonts w:ascii="Arial" w:hAnsi="Arial" w:cs="Arial"/>
                <w:b/>
                <w:color w:val="FFFFFF"/>
                <w:sz w:val="18"/>
                <w:szCs w:val="18"/>
              </w:rPr>
            </w:pPr>
            <w:r>
              <w:rPr>
                <w:rFonts w:ascii="Arial" w:hAnsi="Arial" w:cs="Arial"/>
                <w:b/>
                <w:color w:val="FFFFFF"/>
                <w:sz w:val="18"/>
                <w:szCs w:val="18"/>
              </w:rPr>
              <w:t>Plus</w:t>
            </w:r>
          </w:p>
        </w:tc>
      </w:tr>
      <w:tr w:rsidR="0013665B" w:rsidRPr="00BA3D7A" w:rsidTr="00A90EBF">
        <w:trPr>
          <w:trHeight w:val="170"/>
        </w:trPr>
        <w:tc>
          <w:tcPr>
            <w:tcW w:w="864" w:type="dxa"/>
            <w:tcBorders>
              <w:top w:val="single" w:sz="18" w:space="0" w:color="C60C30"/>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w:t>
            </w:r>
          </w:p>
        </w:tc>
        <w:tc>
          <w:tcPr>
            <w:tcW w:w="3335" w:type="dxa"/>
            <w:tcBorders>
              <w:top w:val="single" w:sz="18" w:space="0" w:color="C60C30"/>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Rio Tinto</w:t>
            </w:r>
          </w:p>
        </w:tc>
        <w:tc>
          <w:tcPr>
            <w:tcW w:w="1296" w:type="dxa"/>
            <w:tcBorders>
              <w:top w:val="single" w:sz="18" w:space="0" w:color="C60C30"/>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18" w:space="0" w:color="C60C30"/>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18" w:space="0" w:color="C60C30"/>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18" w:space="0" w:color="C60C30"/>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2</w:t>
            </w:r>
          </w:p>
        </w:tc>
        <w:tc>
          <w:tcPr>
            <w:tcW w:w="3335"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BHP Billiton</w:t>
            </w:r>
          </w:p>
        </w:tc>
        <w:tc>
          <w:tcPr>
            <w:tcW w:w="1296"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3</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Intercontinental Hotels Group</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4</w:t>
            </w:r>
          </w:p>
        </w:tc>
        <w:tc>
          <w:tcPr>
            <w:tcW w:w="3335"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British Airways</w:t>
            </w:r>
          </w:p>
        </w:tc>
        <w:tc>
          <w:tcPr>
            <w:tcW w:w="1296"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single" w:sz="4" w:space="0" w:color="6E665D"/>
            </w:tcBorders>
            <w:shd w:val="clear" w:color="auto" w:fill="FAF9F8"/>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5</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Next</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6</w:t>
            </w:r>
          </w:p>
        </w:tc>
        <w:tc>
          <w:tcPr>
            <w:tcW w:w="3335"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AstraZeneca</w:t>
            </w:r>
          </w:p>
        </w:tc>
        <w:tc>
          <w:tcPr>
            <w:tcW w:w="1296"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single" w:sz="4" w:space="0" w:color="6E665D"/>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7</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Inmarsat</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8</w:t>
            </w:r>
          </w:p>
        </w:tc>
        <w:tc>
          <w:tcPr>
            <w:tcW w:w="3335"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GlaxoSmithKline</w:t>
            </w:r>
          </w:p>
        </w:tc>
        <w:tc>
          <w:tcPr>
            <w:tcW w:w="1296"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FAF9F8"/>
          </w:tcPr>
          <w:p w:rsidR="0013665B" w:rsidRPr="00BA3D7A" w:rsidRDefault="0013665B" w:rsidP="0013665B">
            <w:pPr>
              <w:spacing w:after="0" w:line="240" w:lineRule="auto"/>
              <w:jc w:val="center"/>
              <w:rPr>
                <w:rFonts w:ascii="Arial" w:hAnsi="Arial" w:cs="Arial"/>
                <w:bCs/>
                <w:i/>
                <w:iCs/>
                <w:sz w:val="20"/>
                <w:szCs w:val="20"/>
                <w:lang w:val="en-GB" w:eastAsia="en-GB"/>
              </w:rPr>
            </w:pPr>
            <w:r w:rsidRPr="00BA3D7A">
              <w:rPr>
                <w:rFonts w:ascii="Arial" w:hAnsi="Arial" w:cs="Arial"/>
                <w:bCs/>
                <w:i/>
                <w:i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9</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Cairn Energy</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D</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10</w:t>
            </w:r>
          </w:p>
        </w:tc>
        <w:tc>
          <w:tcPr>
            <w:tcW w:w="3335"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HSBC Holdings</w:t>
            </w:r>
          </w:p>
        </w:tc>
        <w:tc>
          <w:tcPr>
            <w:tcW w:w="1296"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D</w:t>
            </w:r>
          </w:p>
        </w:tc>
        <w:tc>
          <w:tcPr>
            <w:tcW w:w="1296" w:type="dxa"/>
            <w:tcBorders>
              <w:top w:val="single" w:sz="2" w:space="0" w:color="BFBFBF"/>
              <w:left w:val="nil"/>
              <w:bottom w:val="single" w:sz="2" w:space="0" w:color="BFBFBF"/>
              <w:right w:val="single" w:sz="4" w:space="0" w:color="6E665D"/>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11</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Imperial Tobacco Group</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12</w:t>
            </w:r>
          </w:p>
        </w:tc>
        <w:tc>
          <w:tcPr>
            <w:tcW w:w="3335"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Lonmin</w:t>
            </w:r>
          </w:p>
        </w:tc>
        <w:tc>
          <w:tcPr>
            <w:tcW w:w="1296"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single" w:sz="4" w:space="0" w:color="6E665D"/>
            </w:tcBorders>
            <w:shd w:val="clear" w:color="auto" w:fill="FAF9F8"/>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13</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International Power</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AF9F8"/>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14</w:t>
            </w:r>
          </w:p>
        </w:tc>
        <w:tc>
          <w:tcPr>
            <w:tcW w:w="3335"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Diageo</w:t>
            </w:r>
          </w:p>
        </w:tc>
        <w:tc>
          <w:tcPr>
            <w:tcW w:w="1296" w:type="dxa"/>
            <w:tcBorders>
              <w:top w:val="single" w:sz="2" w:space="0" w:color="BFBFBF"/>
              <w:left w:val="nil"/>
              <w:bottom w:val="single" w:sz="2" w:space="0" w:color="BFBFBF"/>
              <w:right w:val="nil"/>
            </w:tcBorders>
            <w:shd w:val="clear" w:color="auto" w:fill="FAF9F8"/>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FAF9F8"/>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15</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Vodafone Group</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16</w:t>
            </w:r>
          </w:p>
        </w:tc>
        <w:tc>
          <w:tcPr>
            <w:tcW w:w="3335"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Rolls-Royce Group</w:t>
            </w:r>
          </w:p>
        </w:tc>
        <w:tc>
          <w:tcPr>
            <w:tcW w:w="1296"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F9F9F9"/>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17</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BT Group</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18</w:t>
            </w:r>
          </w:p>
        </w:tc>
        <w:tc>
          <w:tcPr>
            <w:tcW w:w="3335"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Pearson</w:t>
            </w:r>
          </w:p>
        </w:tc>
        <w:tc>
          <w:tcPr>
            <w:tcW w:w="1296"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19</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Man Group</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20</w:t>
            </w:r>
          </w:p>
        </w:tc>
        <w:tc>
          <w:tcPr>
            <w:tcW w:w="3335"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Sage Group</w:t>
            </w:r>
          </w:p>
        </w:tc>
        <w:tc>
          <w:tcPr>
            <w:tcW w:w="1296"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single" w:sz="4" w:space="0" w:color="6E665D"/>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21</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BG Group</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sz w:val="20"/>
                <w:szCs w:val="20"/>
                <w:lang w:val="en-GB" w:eastAsia="en-GB"/>
              </w:rPr>
            </w:pPr>
            <w:r w:rsidRPr="00BA3D7A">
              <w:rPr>
                <w:rFonts w:ascii="Arial" w:hAnsi="Arial" w:cs="Arial"/>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22</w:t>
            </w:r>
          </w:p>
        </w:tc>
        <w:tc>
          <w:tcPr>
            <w:tcW w:w="3335"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Tullow Oil</w:t>
            </w:r>
          </w:p>
        </w:tc>
        <w:tc>
          <w:tcPr>
            <w:tcW w:w="1296"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A</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single" w:sz="4" w:space="0" w:color="6E665D"/>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 </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ECEAE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23</w:t>
            </w:r>
          </w:p>
        </w:tc>
        <w:tc>
          <w:tcPr>
            <w:tcW w:w="3335"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Unilever</w:t>
            </w:r>
          </w:p>
        </w:tc>
        <w:tc>
          <w:tcPr>
            <w:tcW w:w="1296" w:type="dxa"/>
            <w:tcBorders>
              <w:top w:val="single" w:sz="2" w:space="0" w:color="BFBFBF"/>
              <w:left w:val="nil"/>
              <w:bottom w:val="single" w:sz="2" w:space="0" w:color="BFBFBF"/>
              <w:right w:val="nil"/>
            </w:tcBorders>
            <w:shd w:val="clear" w:color="auto" w:fill="ECEAE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nil"/>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2" w:space="0" w:color="BFBFBF"/>
              <w:right w:val="single" w:sz="4" w:space="0" w:color="6E665D"/>
            </w:tcBorders>
            <w:shd w:val="clear" w:color="auto" w:fill="ECEAE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2" w:space="0" w:color="BFBFBF"/>
              <w:right w:val="nil"/>
            </w:tcBorders>
            <w:shd w:val="clear" w:color="auto" w:fill="F9F9F9"/>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24</w:t>
            </w:r>
          </w:p>
        </w:tc>
        <w:tc>
          <w:tcPr>
            <w:tcW w:w="3335"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RSA Insurance Group</w:t>
            </w:r>
          </w:p>
        </w:tc>
        <w:tc>
          <w:tcPr>
            <w:tcW w:w="1296" w:type="dxa"/>
            <w:tcBorders>
              <w:top w:val="single" w:sz="2" w:space="0" w:color="BFBFBF"/>
              <w:left w:val="nil"/>
              <w:bottom w:val="single" w:sz="2" w:space="0" w:color="BFBFBF"/>
              <w:right w:val="nil"/>
            </w:tcBorders>
            <w:shd w:val="clear" w:color="auto" w:fill="F9F9F9"/>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2" w:space="0" w:color="BFBFBF"/>
              <w:right w:val="nil"/>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D</w:t>
            </w:r>
          </w:p>
        </w:tc>
        <w:tc>
          <w:tcPr>
            <w:tcW w:w="1296" w:type="dxa"/>
            <w:tcBorders>
              <w:top w:val="single" w:sz="2" w:space="0" w:color="BFBFBF"/>
              <w:left w:val="nil"/>
              <w:bottom w:val="single" w:sz="2" w:space="0" w:color="BFBFBF"/>
              <w:right w:val="single" w:sz="4" w:space="0" w:color="6E665D"/>
            </w:tcBorders>
            <w:shd w:val="clear" w:color="auto" w:fill="F9F9F9"/>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r w:rsidR="0013665B" w:rsidRPr="00BA3D7A" w:rsidTr="00A90EBF">
        <w:trPr>
          <w:trHeight w:val="170"/>
        </w:trPr>
        <w:tc>
          <w:tcPr>
            <w:tcW w:w="864" w:type="dxa"/>
            <w:tcBorders>
              <w:top w:val="single" w:sz="2" w:space="0" w:color="BFBFBF"/>
              <w:left w:val="single" w:sz="4" w:space="0" w:color="6E665D"/>
              <w:bottom w:val="single" w:sz="4" w:space="0" w:color="6E665D"/>
              <w:right w:val="nil"/>
            </w:tcBorders>
            <w:shd w:val="clear" w:color="auto" w:fill="E6E6E6"/>
            <w:noWrap/>
            <w:vAlign w:val="bottom"/>
          </w:tcPr>
          <w:p w:rsidR="0013665B" w:rsidRPr="00BA3D7A" w:rsidRDefault="0013665B" w:rsidP="0013665B">
            <w:pPr>
              <w:pStyle w:val="Table"/>
              <w:jc w:val="center"/>
              <w:rPr>
                <w:rFonts w:ascii="Arial" w:hAnsi="Arial" w:cs="Arial"/>
                <w:b/>
                <w:color w:val="49443E"/>
                <w:sz w:val="18"/>
                <w:szCs w:val="18"/>
              </w:rPr>
            </w:pPr>
            <w:r w:rsidRPr="00BA3D7A">
              <w:rPr>
                <w:rFonts w:ascii="Arial" w:hAnsi="Arial" w:cs="Arial"/>
                <w:b/>
                <w:color w:val="49443E"/>
                <w:sz w:val="18"/>
                <w:szCs w:val="18"/>
              </w:rPr>
              <w:t>25</w:t>
            </w:r>
          </w:p>
        </w:tc>
        <w:tc>
          <w:tcPr>
            <w:tcW w:w="3335" w:type="dxa"/>
            <w:tcBorders>
              <w:top w:val="single" w:sz="2" w:space="0" w:color="BFBFBF"/>
              <w:left w:val="nil"/>
              <w:bottom w:val="single" w:sz="4" w:space="0" w:color="6E665D"/>
              <w:right w:val="nil"/>
            </w:tcBorders>
            <w:shd w:val="clear" w:color="auto" w:fill="E6E6E6"/>
            <w:noWrap/>
          </w:tcPr>
          <w:p w:rsidR="0013665B" w:rsidRPr="00BA3D7A" w:rsidRDefault="0013665B" w:rsidP="0013665B">
            <w:pPr>
              <w:spacing w:after="0" w:line="240" w:lineRule="auto"/>
              <w:rPr>
                <w:rFonts w:ascii="Arial" w:hAnsi="Arial" w:cs="Arial"/>
                <w:sz w:val="20"/>
                <w:szCs w:val="20"/>
                <w:lang w:val="en-GB" w:eastAsia="en-GB"/>
              </w:rPr>
            </w:pPr>
            <w:r w:rsidRPr="00BA3D7A">
              <w:rPr>
                <w:rFonts w:ascii="Arial" w:hAnsi="Arial" w:cs="Arial"/>
                <w:sz w:val="20"/>
                <w:szCs w:val="20"/>
                <w:lang w:val="en-GB" w:eastAsia="en-GB"/>
              </w:rPr>
              <w:t>Marks &amp; Spencer Group</w:t>
            </w:r>
          </w:p>
        </w:tc>
        <w:tc>
          <w:tcPr>
            <w:tcW w:w="1296" w:type="dxa"/>
            <w:tcBorders>
              <w:top w:val="single" w:sz="2" w:space="0" w:color="BFBFBF"/>
              <w:left w:val="nil"/>
              <w:bottom w:val="single" w:sz="4" w:space="0" w:color="6E665D"/>
              <w:right w:val="nil"/>
            </w:tcBorders>
            <w:shd w:val="clear" w:color="auto" w:fill="E6E6E6"/>
            <w:noWrap/>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4" w:space="0" w:color="6E665D"/>
              <w:right w:val="nil"/>
            </w:tcBorders>
            <w:shd w:val="clear" w:color="auto" w:fill="E6E6E6"/>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B</w:t>
            </w:r>
          </w:p>
        </w:tc>
        <w:tc>
          <w:tcPr>
            <w:tcW w:w="1296" w:type="dxa"/>
            <w:tcBorders>
              <w:top w:val="single" w:sz="2" w:space="0" w:color="BFBFBF"/>
              <w:left w:val="nil"/>
              <w:bottom w:val="single" w:sz="4" w:space="0" w:color="6E665D"/>
              <w:right w:val="nil"/>
            </w:tcBorders>
            <w:shd w:val="clear" w:color="auto" w:fill="E6E6E6"/>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C</w:t>
            </w:r>
          </w:p>
        </w:tc>
        <w:tc>
          <w:tcPr>
            <w:tcW w:w="1296" w:type="dxa"/>
            <w:tcBorders>
              <w:top w:val="single" w:sz="2" w:space="0" w:color="BFBFBF"/>
              <w:left w:val="nil"/>
              <w:bottom w:val="single" w:sz="4" w:space="0" w:color="6E665D"/>
              <w:right w:val="single" w:sz="4" w:space="0" w:color="6E665D"/>
            </w:tcBorders>
            <w:shd w:val="clear" w:color="auto" w:fill="E6E6E6"/>
          </w:tcPr>
          <w:p w:rsidR="0013665B" w:rsidRPr="00BA3D7A" w:rsidRDefault="0013665B" w:rsidP="0013665B">
            <w:pPr>
              <w:spacing w:after="0" w:line="240" w:lineRule="auto"/>
              <w:jc w:val="center"/>
              <w:rPr>
                <w:rFonts w:ascii="Arial" w:hAnsi="Arial" w:cs="Arial"/>
                <w:bCs/>
                <w:sz w:val="20"/>
                <w:szCs w:val="20"/>
                <w:lang w:val="en-GB" w:eastAsia="en-GB"/>
              </w:rPr>
            </w:pPr>
            <w:r w:rsidRPr="00BA3D7A">
              <w:rPr>
                <w:rFonts w:ascii="Arial" w:hAnsi="Arial" w:cs="Arial"/>
                <w:bCs/>
                <w:sz w:val="20"/>
                <w:szCs w:val="20"/>
                <w:lang w:val="en-GB" w:eastAsia="en-GB"/>
              </w:rPr>
              <w:t>+</w:t>
            </w:r>
          </w:p>
        </w:tc>
      </w:tr>
    </w:tbl>
    <w:p w:rsidR="00632936" w:rsidRPr="00BA3D7A" w:rsidRDefault="00632936" w:rsidP="0046364A">
      <w:pPr>
        <w:pStyle w:val="Head2"/>
        <w:rPr>
          <w:rFonts w:ascii="Arial" w:hAnsi="Arial" w:cs="Arial"/>
        </w:rPr>
      </w:pPr>
    </w:p>
    <w:p w:rsidR="00A65E07" w:rsidRPr="007A04A8" w:rsidRDefault="00432EA1" w:rsidP="00366FC8">
      <w:pPr>
        <w:pStyle w:val="Head1"/>
        <w:rPr>
          <w:rFonts w:ascii="Arial" w:hAnsi="Arial" w:cs="Arial"/>
          <w:b/>
        </w:rPr>
      </w:pPr>
      <w:bookmarkStart w:id="12" w:name="_Toc273454146"/>
      <w:r w:rsidRPr="007A04A8">
        <w:rPr>
          <w:rFonts w:ascii="Arial" w:hAnsi="Arial" w:cs="Arial"/>
          <w:b/>
        </w:rPr>
        <w:lastRenderedPageBreak/>
        <w:t>5</w:t>
      </w:r>
      <w:r w:rsidR="004F418B" w:rsidRPr="007A04A8">
        <w:rPr>
          <w:rFonts w:ascii="Arial" w:hAnsi="Arial" w:cs="Arial"/>
          <w:b/>
        </w:rPr>
        <w:t xml:space="preserve">  </w:t>
      </w:r>
      <w:r w:rsidR="00A65E07" w:rsidRPr="007A04A8">
        <w:rPr>
          <w:rFonts w:ascii="Arial" w:hAnsi="Arial" w:cs="Arial"/>
          <w:b/>
        </w:rPr>
        <w:t>Further Information</w:t>
      </w:r>
      <w:bookmarkEnd w:id="12"/>
    </w:p>
    <w:p w:rsidR="00A65E07" w:rsidRPr="0019525D" w:rsidRDefault="00A65E07" w:rsidP="00A65E07">
      <w:pPr>
        <w:pStyle w:val="Body"/>
        <w:spacing w:after="120"/>
        <w:rPr>
          <w:rFonts w:ascii="Arial" w:hAnsi="Arial" w:cs="Arial"/>
          <w:lang w:val="en-GB"/>
        </w:rPr>
      </w:pPr>
      <w:r w:rsidRPr="00BA3D7A">
        <w:rPr>
          <w:rFonts w:ascii="Arial" w:hAnsi="Arial" w:cs="Arial"/>
          <w:lang w:val="en-GB"/>
        </w:rPr>
        <w:t>Resources Global Professionals intend to</w:t>
      </w:r>
      <w:r w:rsidR="00F63D46">
        <w:rPr>
          <w:rFonts w:ascii="Arial" w:hAnsi="Arial" w:cs="Arial"/>
          <w:lang w:val="en-GB"/>
        </w:rPr>
        <w:t xml:space="preserve"> compile a similar Index in 2012</w:t>
      </w:r>
      <w:r w:rsidR="006B5BB9">
        <w:rPr>
          <w:rFonts w:ascii="Arial" w:hAnsi="Arial" w:cs="Arial"/>
          <w:lang w:val="en-GB"/>
        </w:rPr>
        <w:t xml:space="preserve"> and will be planning related papers and events in 2011 and 2012</w:t>
      </w:r>
      <w:r w:rsidR="00CE0AA0" w:rsidRPr="00BA3D7A">
        <w:rPr>
          <w:rFonts w:ascii="Arial" w:hAnsi="Arial" w:cs="Arial"/>
          <w:lang w:val="en-GB"/>
        </w:rPr>
        <w:t xml:space="preserve">. </w:t>
      </w:r>
      <w:r w:rsidRPr="00BA3D7A">
        <w:rPr>
          <w:rFonts w:ascii="Arial" w:hAnsi="Arial" w:cs="Arial"/>
          <w:lang w:val="en-GB"/>
        </w:rPr>
        <w:t xml:space="preserve">For further copies of this report and additional information please contact </w:t>
      </w:r>
      <w:hyperlink r:id="rId13" w:history="1">
        <w:r w:rsidR="0019525D" w:rsidRPr="0019525D">
          <w:rPr>
            <w:rStyle w:val="Hyperlink"/>
            <w:rFonts w:ascii="Arial" w:hAnsi="Arial" w:cs="Arial"/>
            <w:color w:val="C00000"/>
            <w:lang w:val="en-GB"/>
          </w:rPr>
          <w:t>rgi@resources-uk.com</w:t>
        </w:r>
      </w:hyperlink>
      <w:r w:rsidR="00F63D46" w:rsidRPr="0019525D">
        <w:rPr>
          <w:rFonts w:ascii="Arial" w:hAnsi="Arial" w:cs="Arial"/>
          <w:color w:val="C00000"/>
          <w:lang w:val="en-GB"/>
        </w:rPr>
        <w:t xml:space="preserve"> </w:t>
      </w:r>
      <w:r w:rsidR="003B03B5" w:rsidRPr="003B03B5">
        <w:rPr>
          <w:rFonts w:ascii="Arial" w:hAnsi="Arial" w:cs="Arial"/>
          <w:color w:val="auto"/>
          <w:lang w:val="en-GB"/>
        </w:rPr>
        <w:t>or</w:t>
      </w:r>
      <w:r w:rsidR="003B03B5">
        <w:rPr>
          <w:rFonts w:ascii="Arial" w:hAnsi="Arial" w:cs="Arial"/>
          <w:color w:val="C00000"/>
          <w:lang w:val="en-GB"/>
        </w:rPr>
        <w:t xml:space="preserve"> </w:t>
      </w:r>
      <w:r w:rsidRPr="0019525D">
        <w:rPr>
          <w:rFonts w:ascii="Arial" w:hAnsi="Arial" w:cs="Arial"/>
          <w:lang w:val="en-GB"/>
        </w:rPr>
        <w:t>+44 (0) 131 260 3700</w:t>
      </w:r>
    </w:p>
    <w:p w:rsidR="00A65E07" w:rsidRPr="00BA3D7A" w:rsidRDefault="00A65E07" w:rsidP="00A65E07">
      <w:pPr>
        <w:pStyle w:val="Body"/>
        <w:spacing w:after="120"/>
        <w:rPr>
          <w:rFonts w:ascii="Arial" w:hAnsi="Arial" w:cs="Arial"/>
          <w:lang w:val="en-GB"/>
        </w:rPr>
      </w:pPr>
    </w:p>
    <w:p w:rsidR="00A65E07" w:rsidRPr="00C278BA" w:rsidRDefault="00A65E07" w:rsidP="00366FC8">
      <w:pPr>
        <w:pStyle w:val="Head2"/>
        <w:rPr>
          <w:rFonts w:ascii="Arial" w:hAnsi="Arial" w:cs="Arial"/>
          <w:b/>
        </w:rPr>
      </w:pPr>
      <w:bookmarkStart w:id="13" w:name="_Toc273454147"/>
      <w:r w:rsidRPr="00C278BA">
        <w:rPr>
          <w:rFonts w:ascii="Arial" w:hAnsi="Arial" w:cs="Arial"/>
          <w:b/>
        </w:rPr>
        <w:t>About Resources Global Professionals</w:t>
      </w:r>
      <w:bookmarkEnd w:id="13"/>
    </w:p>
    <w:p w:rsidR="00A65E07" w:rsidRPr="00BA3D7A" w:rsidRDefault="00A65E07" w:rsidP="00A65E07">
      <w:pPr>
        <w:pStyle w:val="Body"/>
        <w:spacing w:after="120"/>
        <w:rPr>
          <w:rFonts w:ascii="Arial" w:hAnsi="Arial" w:cs="Arial"/>
          <w:lang w:val="en-GB"/>
        </w:rPr>
      </w:pPr>
      <w:r w:rsidRPr="00BA3D7A">
        <w:rPr>
          <w:rFonts w:ascii="Arial" w:hAnsi="Arial" w:cs="Arial"/>
          <w:lang w:val="en-GB"/>
        </w:rPr>
        <w:t>Resources Global Professionals ("Resources Global") is an international professional services firm that helps business leaders execute internal initiatives. Partnering with client teams, we solve problems, execute plans, transfer knowledge and help drive change through all levels of the enterprise, all over the world.</w:t>
      </w:r>
    </w:p>
    <w:p w:rsidR="004B1EA2" w:rsidRPr="00BA3D7A" w:rsidRDefault="00A65E07" w:rsidP="00A65E07">
      <w:pPr>
        <w:pStyle w:val="Body"/>
        <w:spacing w:after="120"/>
        <w:rPr>
          <w:rFonts w:ascii="Arial" w:hAnsi="Arial" w:cs="Arial"/>
          <w:lang w:val="en-GB"/>
        </w:rPr>
      </w:pPr>
      <w:r w:rsidRPr="00BA3D7A">
        <w:rPr>
          <w:rFonts w:ascii="Arial" w:hAnsi="Arial" w:cs="Arial"/>
          <w:lang w:val="en-GB"/>
        </w:rPr>
        <w:t>Our professionals are experienced problem solvers w</w:t>
      </w:r>
      <w:r w:rsidR="00CE0AA0" w:rsidRPr="00BA3D7A">
        <w:rPr>
          <w:rFonts w:ascii="Arial" w:hAnsi="Arial" w:cs="Arial"/>
          <w:lang w:val="en-GB"/>
        </w:rPr>
        <w:t>ith an</w:t>
      </w:r>
      <w:r w:rsidRPr="00BA3D7A">
        <w:rPr>
          <w:rFonts w:ascii="Arial" w:hAnsi="Arial" w:cs="Arial"/>
          <w:lang w:val="en-GB"/>
        </w:rPr>
        <w:t xml:space="preserve"> average </w:t>
      </w:r>
      <w:r w:rsidR="00CE0AA0" w:rsidRPr="00BA3D7A">
        <w:rPr>
          <w:rFonts w:ascii="Arial" w:hAnsi="Arial" w:cs="Arial"/>
          <w:lang w:val="en-GB"/>
        </w:rPr>
        <w:t xml:space="preserve">of </w:t>
      </w:r>
      <w:r w:rsidRPr="00BA3D7A">
        <w:rPr>
          <w:rFonts w:ascii="Arial" w:hAnsi="Arial" w:cs="Arial"/>
          <w:lang w:val="en-GB"/>
        </w:rPr>
        <w:t xml:space="preserve">18-years experience in the fields of finance and accounting, human capital, information management, internal audit, legal, supply chain and </w:t>
      </w:r>
      <w:r w:rsidR="004B1EA2" w:rsidRPr="00BA3D7A">
        <w:rPr>
          <w:rFonts w:ascii="Arial" w:hAnsi="Arial" w:cs="Arial"/>
          <w:lang w:val="en-GB"/>
        </w:rPr>
        <w:t>governance, risk and compliance (</w:t>
      </w:r>
      <w:r w:rsidRPr="00BA3D7A">
        <w:rPr>
          <w:rFonts w:ascii="Arial" w:hAnsi="Arial" w:cs="Arial"/>
          <w:lang w:val="en-GB"/>
        </w:rPr>
        <w:t>GRC</w:t>
      </w:r>
      <w:r w:rsidR="004B1EA2" w:rsidRPr="00BA3D7A">
        <w:rPr>
          <w:rFonts w:ascii="Arial" w:hAnsi="Arial" w:cs="Arial"/>
          <w:lang w:val="en-GB"/>
        </w:rPr>
        <w:t>)</w:t>
      </w:r>
      <w:r w:rsidRPr="00BA3D7A">
        <w:rPr>
          <w:rFonts w:ascii="Arial" w:hAnsi="Arial" w:cs="Arial"/>
          <w:lang w:val="en-GB"/>
        </w:rPr>
        <w:t xml:space="preserve">.  </w:t>
      </w:r>
    </w:p>
    <w:p w:rsidR="00A65E07" w:rsidRPr="00BA3D7A" w:rsidRDefault="00A65E07" w:rsidP="00A65E07">
      <w:pPr>
        <w:pStyle w:val="Body"/>
        <w:spacing w:after="120"/>
        <w:rPr>
          <w:rFonts w:ascii="Arial" w:hAnsi="Arial" w:cs="Arial"/>
          <w:lang w:val="en-GB"/>
        </w:rPr>
      </w:pPr>
      <w:r w:rsidRPr="00BA3D7A">
        <w:rPr>
          <w:rFonts w:ascii="Arial" w:hAnsi="Arial" w:cs="Arial"/>
          <w:lang w:val="en-GB"/>
        </w:rPr>
        <w:t>Resources Global was founded in 1996 within a Big Four accounting firm.</w:t>
      </w:r>
      <w:r w:rsidR="00B41683" w:rsidRPr="00BA3D7A">
        <w:rPr>
          <w:rFonts w:ascii="Arial" w:hAnsi="Arial" w:cs="Arial"/>
          <w:lang w:val="en-GB"/>
        </w:rPr>
        <w:t xml:space="preserve"> </w:t>
      </w:r>
      <w:r w:rsidRPr="00BA3D7A">
        <w:rPr>
          <w:rFonts w:ascii="Arial" w:hAnsi="Arial" w:cs="Arial"/>
          <w:lang w:val="en-GB"/>
        </w:rPr>
        <w:t>Today, Resources Global is a publicly traded company with over 2,</w:t>
      </w:r>
      <w:r w:rsidR="004B1EA2" w:rsidRPr="00BA3D7A">
        <w:rPr>
          <w:rFonts w:ascii="Arial" w:hAnsi="Arial" w:cs="Arial"/>
          <w:lang w:val="en-GB"/>
        </w:rPr>
        <w:t>7</w:t>
      </w:r>
      <w:r w:rsidRPr="00BA3D7A">
        <w:rPr>
          <w:rFonts w:ascii="Arial" w:hAnsi="Arial" w:cs="Arial"/>
          <w:lang w:val="en-GB"/>
        </w:rPr>
        <w:t xml:space="preserve">00 professionals (from more than 80 offices) serving </w:t>
      </w:r>
      <w:r w:rsidR="00B41683" w:rsidRPr="00BA3D7A">
        <w:rPr>
          <w:rFonts w:ascii="Arial" w:hAnsi="Arial" w:cs="Arial"/>
          <w:lang w:val="en-GB"/>
        </w:rPr>
        <w:t xml:space="preserve">2,100 clients in 66 countries. </w:t>
      </w:r>
      <w:r w:rsidRPr="00BA3D7A">
        <w:rPr>
          <w:rFonts w:ascii="Arial" w:hAnsi="Arial" w:cs="Arial"/>
          <w:lang w:val="en-GB"/>
        </w:rPr>
        <w:t xml:space="preserve">Headquartered in California, Resources Global has served 84 of the Fortune 100 companies. </w:t>
      </w:r>
    </w:p>
    <w:p w:rsidR="00A65E07" w:rsidRPr="00BA3D7A" w:rsidRDefault="00A65E07" w:rsidP="00A65E07">
      <w:pPr>
        <w:pStyle w:val="Body"/>
        <w:spacing w:after="120"/>
        <w:rPr>
          <w:rFonts w:ascii="Arial" w:hAnsi="Arial" w:cs="Arial"/>
          <w:lang w:val="en-GB"/>
        </w:rPr>
      </w:pPr>
      <w:r w:rsidRPr="00BA3D7A">
        <w:rPr>
          <w:rFonts w:ascii="Arial" w:hAnsi="Arial" w:cs="Arial"/>
          <w:lang w:val="en-GB"/>
        </w:rPr>
        <w:t>More information about Resources Global is available at</w:t>
      </w:r>
      <w:r w:rsidRPr="0019525D">
        <w:rPr>
          <w:rFonts w:ascii="Arial" w:hAnsi="Arial" w:cs="Arial"/>
          <w:color w:val="C00000"/>
          <w:lang w:val="en-GB"/>
        </w:rPr>
        <w:t xml:space="preserve"> </w:t>
      </w:r>
      <w:hyperlink r:id="rId14" w:history="1">
        <w:r w:rsidRPr="0019525D">
          <w:rPr>
            <w:rStyle w:val="Hyperlink"/>
            <w:rFonts w:ascii="Arial" w:hAnsi="Arial" w:cs="Arial"/>
            <w:color w:val="C00000"/>
            <w:lang w:val="en-GB"/>
          </w:rPr>
          <w:t>www.resourcesglobal.com</w:t>
        </w:r>
      </w:hyperlink>
    </w:p>
    <w:sectPr w:rsidR="00A65E07" w:rsidRPr="00BA3D7A" w:rsidSect="000E2CCC">
      <w:headerReference w:type="default" r:id="rId15"/>
      <w:footerReference w:type="default" r:id="rId16"/>
      <w:type w:val="continuous"/>
      <w:pgSz w:w="12240" w:h="15840"/>
      <w:pgMar w:top="22" w:right="1440" w:bottom="1440" w:left="1440" w:header="708" w:footer="864"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83D" w:rsidRDefault="00BC583D" w:rsidP="0035336E">
      <w:pPr>
        <w:spacing w:after="0" w:line="240" w:lineRule="auto"/>
      </w:pPr>
      <w:r>
        <w:separator/>
      </w:r>
    </w:p>
  </w:endnote>
  <w:endnote w:type="continuationSeparator" w:id="0">
    <w:p w:rsidR="00BC583D" w:rsidRDefault="00BC583D" w:rsidP="003533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fontKey="{F2CDD8C7-ADEA-4BBB-95C9-673490B65018}"/>
    <w:embedBold r:id="rId2" w:fontKey="{63152F44-FA02-40F9-8BF3-67866B18B3CB}"/>
    <w:embedItalic r:id="rId3" w:fontKey="{7005A1BA-9324-4D25-AFD1-DF82C52EBAA8}"/>
    <w:embedBoldItalic r:id="rId4" w:fontKey="{0AFE2E37-9A98-402D-8F70-3ED9C0D75A2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5" w:fontKey="{F5DFB479-2945-4D5E-8065-3EB16D3ED4AF}"/>
    <w:embedBold r:id="rId6" w:fontKey="{9881DA80-DE06-46CA-B50A-97320F37B161}"/>
    <w:embedBoldItalic r:id="rId7" w:fontKey="{A7A2EB57-A570-4B5B-B4BE-D22D8F38E57B}"/>
  </w:font>
  <w:font w:name="Tahoma">
    <w:panose1 w:val="020B0604030504040204"/>
    <w:charset w:val="00"/>
    <w:family w:val="swiss"/>
    <w:pitch w:val="variable"/>
    <w:sig w:usb0="E1002EFF" w:usb1="C000605B" w:usb2="00000029" w:usb3="00000000" w:csb0="000101FF" w:csb1="00000000"/>
    <w:embedRegular r:id="rId8" w:fontKey="{BD403A3D-E187-48C5-A66A-D336017A46E8}"/>
  </w:font>
  <w:font w:name="Verdana">
    <w:panose1 w:val="020B0604030504040204"/>
    <w:charset w:val="00"/>
    <w:family w:val="swiss"/>
    <w:pitch w:val="variable"/>
    <w:sig w:usb0="A10006FF" w:usb1="4000205B" w:usb2="00000010" w:usb3="00000000" w:csb0="0000019F" w:csb1="00000000"/>
    <w:embedRegular r:id="rId9" w:fontKey="{43836BEA-6D14-4E1D-B806-451A64D73990}"/>
    <w:embedBold r:id="rId10" w:fontKey="{15FA4BED-56EC-4B64-9354-71E91B4CAE93}"/>
  </w:font>
  <w:font w:name="PMingLiU">
    <w:altName w:val="新細明體"/>
    <w:panose1 w:val="02020500000000000000"/>
    <w:charset w:val="88"/>
    <w:family w:val="roman"/>
    <w:pitch w:val="variable"/>
    <w:sig w:usb0="A00002FF" w:usb1="28CFFCFA" w:usb2="00000016" w:usb3="00000000" w:csb0="00100001" w:csb1="00000000"/>
  </w:font>
  <w:font w:name="Univers LT 45 Light">
    <w:altName w:val="Agency FB"/>
    <w:charset w:val="00"/>
    <w:family w:val="auto"/>
    <w:pitch w:val="variable"/>
    <w:sig w:usb0="00000003" w:usb1="00000000" w:usb2="00000000" w:usb3="00000000" w:csb0="00000001" w:csb1="00000000"/>
  </w:font>
  <w:font w:name="Univers CE 45 Light">
    <w:altName w:val="Corbel"/>
    <w:charset w:val="00"/>
    <w:family w:val="auto"/>
    <w:pitch w:val="variable"/>
    <w:sig w:usb0="00000001" w:usb1="00000000" w:usb2="00000000" w:usb3="00000000" w:csb0="00000003" w:csb1="00000000"/>
  </w:font>
  <w:font w:name="Univers LT 55">
    <w:altName w:val="Bell MT"/>
    <w:charset w:val="00"/>
    <w:family w:val="auto"/>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Univers LT 47 CondensedLt">
    <w:altName w:val="Franklin Gothic Medium Cond"/>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79A" w:rsidRPr="004F31CB" w:rsidRDefault="0066479A" w:rsidP="00F109F9">
    <w:pPr>
      <w:tabs>
        <w:tab w:val="right" w:pos="9498"/>
      </w:tabs>
      <w:spacing w:before="360" w:after="0" w:line="240" w:lineRule="auto"/>
      <w:ind w:left="-720" w:right="360"/>
      <w:rPr>
        <w:rFonts w:cs="Times New Roman"/>
        <w:color w:val="49443E"/>
        <w:sz w:val="16"/>
        <w:szCs w:val="16"/>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79A" w:rsidRDefault="0066479A">
    <w:pPr>
      <w:pStyle w:val="Footer"/>
    </w:pPr>
    <w:fldSimple w:instr=" PAGE   \* MERGEFORMAT ">
      <w:r>
        <w:rPr>
          <w:noProof/>
        </w:rPr>
        <w:t>ii</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79A" w:rsidRPr="00773B05" w:rsidRDefault="0066479A" w:rsidP="00636D8B">
    <w:pPr>
      <w:tabs>
        <w:tab w:val="right" w:pos="9498"/>
      </w:tabs>
      <w:spacing w:before="360" w:after="0" w:line="240" w:lineRule="auto"/>
      <w:ind w:right="360"/>
      <w:rPr>
        <w:rFonts w:ascii="Univers LT 45 Light" w:hAnsi="Univers LT 45 Light" w:cs="Times New Roman"/>
        <w:sz w:val="18"/>
        <w:szCs w:val="18"/>
        <w:lang w:val="en-GB"/>
      </w:rPr>
    </w:pPr>
    <w:r w:rsidRPr="00362CD9">
      <w:rPr>
        <w:rFonts w:ascii="Univers LT 45 Light" w:hAnsi="Univers LT 45 Light" w:cs="Times New Roman"/>
        <w:noProof/>
        <w:sz w:val="18"/>
        <w:szCs w:val="18"/>
      </w:rPr>
      <w:pict>
        <v:rect id="_x0000_s30722" style="position:absolute;margin-left:-24.2pt;margin-top:-18.15pt;width:517.25pt;height:65.7pt;z-index:251656192" stroked="f"/>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79A" w:rsidRDefault="0066479A">
    <w:pPr>
      <w:pStyle w:val="Footer"/>
      <w:jc w:val="center"/>
    </w:pPr>
    <w:fldSimple w:instr=" PAGE   \* MERGEFORMAT ">
      <w:r w:rsidR="001E7A96">
        <w:rPr>
          <w:noProof/>
        </w:rPr>
        <w:t>13</w:t>
      </w:r>
    </w:fldSimple>
  </w:p>
  <w:p w:rsidR="0066479A" w:rsidRPr="00643512" w:rsidRDefault="0066479A" w:rsidP="00643512">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83D" w:rsidRDefault="00BC583D" w:rsidP="0035336E">
      <w:pPr>
        <w:spacing w:after="0" w:line="240" w:lineRule="auto"/>
      </w:pPr>
      <w:r>
        <w:separator/>
      </w:r>
    </w:p>
  </w:footnote>
  <w:footnote w:type="continuationSeparator" w:id="0">
    <w:p w:rsidR="00BC583D" w:rsidRDefault="00BC583D" w:rsidP="003533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79A" w:rsidRDefault="001E7A96">
    <w:pPr>
      <w:pStyle w:val="Header"/>
    </w:pPr>
    <w:r>
      <w:rPr>
        <w:noProof/>
        <w:lang w:val="en-GB" w:eastAsia="en-GB"/>
      </w:rPr>
      <w:drawing>
        <wp:anchor distT="0" distB="0" distL="114300" distR="114300" simplePos="0" relativeHeight="251658240" behindDoc="1" locked="0" layoutInCell="1" allowOverlap="1">
          <wp:simplePos x="0" y="0"/>
          <wp:positionH relativeFrom="column">
            <wp:posOffset>-917575</wp:posOffset>
          </wp:positionH>
          <wp:positionV relativeFrom="paragraph">
            <wp:posOffset>-449580</wp:posOffset>
          </wp:positionV>
          <wp:extent cx="7778750" cy="10066020"/>
          <wp:effectExtent l="19050" t="0" r="0" b="0"/>
          <wp:wrapNone/>
          <wp:docPr id="4" name="Picture 4" descr="RGI Inside Image 083110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I Inside Image 083110 A.jpg"/>
                  <pic:cNvPicPr>
                    <a:picLocks noChangeAspect="1" noChangeArrowheads="1"/>
                  </pic:cNvPicPr>
                </pic:nvPicPr>
                <pic:blipFill>
                  <a:blip r:embed="rId1"/>
                  <a:srcRect/>
                  <a:stretch>
                    <a:fillRect/>
                  </a:stretch>
                </pic:blipFill>
                <pic:spPr bwMode="auto">
                  <a:xfrm>
                    <a:off x="0" y="0"/>
                    <a:ext cx="7778750" cy="1006602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79A" w:rsidRDefault="001E7A96">
    <w:pPr>
      <w:pStyle w:val="Header"/>
    </w:pPr>
    <w:r>
      <w:rPr>
        <w:noProof/>
        <w:lang w:val="en-GB" w:eastAsia="en-GB"/>
      </w:rPr>
      <w:drawing>
        <wp:anchor distT="0" distB="0" distL="114300" distR="114300" simplePos="0" relativeHeight="251657216" behindDoc="1" locked="0" layoutInCell="1" allowOverlap="1">
          <wp:simplePos x="0" y="0"/>
          <wp:positionH relativeFrom="column">
            <wp:posOffset>-913130</wp:posOffset>
          </wp:positionH>
          <wp:positionV relativeFrom="paragraph">
            <wp:posOffset>-449580</wp:posOffset>
          </wp:positionV>
          <wp:extent cx="7780020" cy="10067925"/>
          <wp:effectExtent l="19050" t="0" r="0" b="0"/>
          <wp:wrapNone/>
          <wp:docPr id="3" name="Picture 18" descr="RGI Inside Image 083110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GI Inside Image 083110 A.jpg"/>
                  <pic:cNvPicPr>
                    <a:picLocks noChangeAspect="1" noChangeArrowheads="1"/>
                  </pic:cNvPicPr>
                </pic:nvPicPr>
                <pic:blipFill>
                  <a:blip r:embed="rId1"/>
                  <a:srcRect/>
                  <a:stretch>
                    <a:fillRect/>
                  </a:stretch>
                </pic:blipFill>
                <pic:spPr bwMode="auto">
                  <a:xfrm>
                    <a:off x="0" y="0"/>
                    <a:ext cx="7780020" cy="1006792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79A" w:rsidRDefault="001E7A96">
    <w:pPr>
      <w:pStyle w:val="Header"/>
    </w:pPr>
    <w:r>
      <w:rPr>
        <w:noProof/>
        <w:lang w:val="en-GB" w:eastAsia="en-GB"/>
      </w:rPr>
      <w:drawing>
        <wp:anchor distT="0" distB="0" distL="114300" distR="114300" simplePos="0" relativeHeight="251659264" behindDoc="1" locked="0" layoutInCell="1" allowOverlap="1">
          <wp:simplePos x="0" y="0"/>
          <wp:positionH relativeFrom="column">
            <wp:posOffset>-666750</wp:posOffset>
          </wp:positionH>
          <wp:positionV relativeFrom="paragraph">
            <wp:posOffset>-592455</wp:posOffset>
          </wp:positionV>
          <wp:extent cx="7780020" cy="10067925"/>
          <wp:effectExtent l="19050" t="0" r="0" b="0"/>
          <wp:wrapNone/>
          <wp:docPr id="5" name="Picture 5" descr="RGI Inside Image 083110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I Inside Image 083110 A.jpg"/>
                  <pic:cNvPicPr>
                    <a:picLocks noChangeAspect="1" noChangeArrowheads="1"/>
                  </pic:cNvPicPr>
                </pic:nvPicPr>
                <pic:blipFill>
                  <a:blip r:embed="rId1"/>
                  <a:srcRect/>
                  <a:stretch>
                    <a:fillRect/>
                  </a:stretch>
                </pic:blipFill>
                <pic:spPr bwMode="auto">
                  <a:xfrm>
                    <a:off x="0" y="0"/>
                    <a:ext cx="7780020" cy="100679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4C15"/>
    <w:multiLevelType w:val="hybridMultilevel"/>
    <w:tmpl w:val="121AC36A"/>
    <w:lvl w:ilvl="0" w:tplc="0809000B">
      <w:start w:val="1"/>
      <w:numFmt w:val="bullet"/>
      <w:lvlText w:val=""/>
      <w:lvlJc w:val="left"/>
      <w:pPr>
        <w:ind w:left="1800" w:hanging="360"/>
      </w:pPr>
      <w:rPr>
        <w:rFonts w:ascii="Wingdings" w:hAnsi="Wingdings" w:hint="default"/>
        <w:color w:val="C60C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1A30C07"/>
    <w:multiLevelType w:val="hybridMultilevel"/>
    <w:tmpl w:val="349A4DDC"/>
    <w:lvl w:ilvl="0" w:tplc="0809000B">
      <w:start w:val="1"/>
      <w:numFmt w:val="bullet"/>
      <w:lvlText w:val=""/>
      <w:lvlJc w:val="left"/>
      <w:pPr>
        <w:ind w:left="1800" w:hanging="360"/>
      </w:pPr>
      <w:rPr>
        <w:rFonts w:ascii="Wingdings" w:hAnsi="Wingdings" w:hint="default"/>
        <w:color w:val="C60C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14A005B"/>
    <w:multiLevelType w:val="hybridMultilevel"/>
    <w:tmpl w:val="5A1AE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F8653D"/>
    <w:multiLevelType w:val="hybridMultilevel"/>
    <w:tmpl w:val="1D8AB06C"/>
    <w:lvl w:ilvl="0" w:tplc="0809000B">
      <w:start w:val="1"/>
      <w:numFmt w:val="bullet"/>
      <w:lvlText w:val=""/>
      <w:lvlJc w:val="left"/>
      <w:pPr>
        <w:ind w:left="1800" w:hanging="360"/>
      </w:pPr>
      <w:rPr>
        <w:rFonts w:ascii="Wingdings" w:hAnsi="Wingdings" w:hint="default"/>
        <w:color w:val="C60C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A6C3564"/>
    <w:multiLevelType w:val="multilevel"/>
    <w:tmpl w:val="52F01558"/>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ascii="Calibri" w:hAnsi="Calibri" w:cs="Calibri" w:hint="default"/>
        <w:color w:val="4F81BD"/>
        <w:sz w:val="24"/>
        <w:szCs w:val="24"/>
        <w:vertAlign w:val="baseline"/>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5">
    <w:nsid w:val="2DB40E44"/>
    <w:multiLevelType w:val="hybridMultilevel"/>
    <w:tmpl w:val="FB9E6D8E"/>
    <w:lvl w:ilvl="0" w:tplc="0809000B">
      <w:start w:val="1"/>
      <w:numFmt w:val="bullet"/>
      <w:lvlText w:val=""/>
      <w:lvlJc w:val="left"/>
      <w:pPr>
        <w:ind w:left="1800" w:hanging="360"/>
      </w:pPr>
      <w:rPr>
        <w:rFonts w:ascii="Wingdings" w:hAnsi="Wingdings" w:hint="default"/>
        <w:color w:val="C60C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0DF1870"/>
    <w:multiLevelType w:val="hybridMultilevel"/>
    <w:tmpl w:val="5D643E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2BA44E1"/>
    <w:multiLevelType w:val="hybridMultilevel"/>
    <w:tmpl w:val="09B48062"/>
    <w:lvl w:ilvl="0" w:tplc="936ADF16">
      <w:start w:val="1"/>
      <w:numFmt w:val="bullet"/>
      <w:pStyle w:val="Bullet1"/>
      <w:lvlText w:val="●"/>
      <w:lvlJc w:val="left"/>
      <w:pPr>
        <w:ind w:left="1800" w:hanging="360"/>
      </w:pPr>
      <w:rPr>
        <w:rFonts w:ascii="Times New Roman" w:hAnsi="Times New Roman" w:cs="Times New Roman" w:hint="default"/>
        <w:color w:val="C60C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5202143"/>
    <w:multiLevelType w:val="hybridMultilevel"/>
    <w:tmpl w:val="664A976C"/>
    <w:lvl w:ilvl="0" w:tplc="0809000B">
      <w:start w:val="1"/>
      <w:numFmt w:val="bullet"/>
      <w:lvlText w:val=""/>
      <w:lvlJc w:val="left"/>
      <w:pPr>
        <w:ind w:left="2160" w:hanging="360"/>
      </w:pPr>
      <w:rPr>
        <w:rFonts w:ascii="Wingdings" w:hAnsi="Wingdings" w:hint="default"/>
        <w:color w:val="C0000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nsid w:val="555317F4"/>
    <w:multiLevelType w:val="hybridMultilevel"/>
    <w:tmpl w:val="CC382AF4"/>
    <w:lvl w:ilvl="0" w:tplc="46547A9E">
      <w:start w:val="1"/>
      <w:numFmt w:val="decimal"/>
      <w:pStyle w:val="Numbered"/>
      <w:lvlText w:val="%1."/>
      <w:lvlJc w:val="left"/>
      <w:pPr>
        <w:ind w:left="502" w:hanging="360"/>
      </w:pPr>
      <w:rPr>
        <w:rFonts w:ascii="Arial" w:hAnsi="Arial" w:cs="Arial" w:hint="default"/>
        <w:b w:val="0"/>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7327B1"/>
    <w:multiLevelType w:val="hybridMultilevel"/>
    <w:tmpl w:val="6F9413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2A211CD"/>
    <w:multiLevelType w:val="hybridMultilevel"/>
    <w:tmpl w:val="49162FF0"/>
    <w:lvl w:ilvl="0" w:tplc="0809000B">
      <w:start w:val="1"/>
      <w:numFmt w:val="bullet"/>
      <w:lvlText w:val=""/>
      <w:lvlJc w:val="left"/>
      <w:pPr>
        <w:ind w:left="1800" w:hanging="360"/>
      </w:pPr>
      <w:rPr>
        <w:rFonts w:ascii="Wingdings" w:hAnsi="Wingdings" w:hint="default"/>
        <w:color w:val="C60C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731A7677"/>
    <w:multiLevelType w:val="hybridMultilevel"/>
    <w:tmpl w:val="293A1F1C"/>
    <w:lvl w:ilvl="0" w:tplc="0809000B">
      <w:start w:val="1"/>
      <w:numFmt w:val="bullet"/>
      <w:lvlText w:val=""/>
      <w:lvlJc w:val="left"/>
      <w:pPr>
        <w:ind w:left="1800" w:hanging="360"/>
      </w:pPr>
      <w:rPr>
        <w:rFonts w:ascii="Wingdings" w:hAnsi="Wingdings" w:hint="default"/>
        <w:color w:val="C60C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7"/>
    <w:lvlOverride w:ilvl="0">
      <w:startOverride w:val="1"/>
    </w:lvlOverride>
  </w:num>
  <w:num w:numId="3">
    <w:abstractNumId w:val="9"/>
  </w:num>
  <w:num w:numId="4">
    <w:abstractNumId w:val="9"/>
    <w:lvlOverride w:ilvl="0">
      <w:startOverride w:val="1"/>
    </w:lvlOverride>
  </w:num>
  <w:num w:numId="5">
    <w:abstractNumId w:val="9"/>
    <w:lvlOverride w:ilvl="0">
      <w:startOverride w:val="1"/>
    </w:lvlOverride>
  </w:num>
  <w:num w:numId="6">
    <w:abstractNumId w:val="6"/>
  </w:num>
  <w:num w:numId="7">
    <w:abstractNumId w:val="0"/>
  </w:num>
  <w:num w:numId="8">
    <w:abstractNumId w:val="8"/>
  </w:num>
  <w:num w:numId="9">
    <w:abstractNumId w:val="1"/>
  </w:num>
  <w:num w:numId="10">
    <w:abstractNumId w:val="3"/>
  </w:num>
  <w:num w:numId="11">
    <w:abstractNumId w:val="5"/>
  </w:num>
  <w:num w:numId="12">
    <w:abstractNumId w:val="12"/>
  </w:num>
  <w:num w:numId="13">
    <w:abstractNumId w:val="11"/>
  </w:num>
  <w:num w:numId="14">
    <w:abstractNumId w:val="2"/>
  </w:num>
  <w:num w:numId="15">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TrueTypeFonts/>
  <w:defaultTabStop w:val="720"/>
  <w:drawingGridHorizontalSpacing w:val="110"/>
  <w:displayHorizontalDrawingGridEvery w:val="2"/>
  <w:characterSpacingControl w:val="doNotCompress"/>
  <w:hdrShapeDefaults>
    <o:shapedefaults v:ext="edit" spidmax="32770">
      <o:colormru v:ext="edit" colors="black"/>
      <o:colormenu v:ext="edit" fillcolor="none [3212]" strokecolor="none"/>
    </o:shapedefaults>
    <o:shapelayout v:ext="edit">
      <o:idmap v:ext="edit" data="30"/>
    </o:shapelayout>
  </w:hdrShapeDefaults>
  <w:footnotePr>
    <w:footnote w:id="-1"/>
    <w:footnote w:id="0"/>
  </w:footnotePr>
  <w:endnotePr>
    <w:endnote w:id="-1"/>
    <w:endnote w:id="0"/>
  </w:endnotePr>
  <w:compat/>
  <w:rsids>
    <w:rsidRoot w:val="001F110D"/>
    <w:rsid w:val="00011E7A"/>
    <w:rsid w:val="00013D76"/>
    <w:rsid w:val="000153D5"/>
    <w:rsid w:val="0004070D"/>
    <w:rsid w:val="00054051"/>
    <w:rsid w:val="00055234"/>
    <w:rsid w:val="00056625"/>
    <w:rsid w:val="000604C1"/>
    <w:rsid w:val="0008119B"/>
    <w:rsid w:val="00082C92"/>
    <w:rsid w:val="00090DD4"/>
    <w:rsid w:val="000939CE"/>
    <w:rsid w:val="000953AB"/>
    <w:rsid w:val="000A0251"/>
    <w:rsid w:val="000A5A2F"/>
    <w:rsid w:val="000B2F21"/>
    <w:rsid w:val="000B55A0"/>
    <w:rsid w:val="000C1921"/>
    <w:rsid w:val="000E2CCC"/>
    <w:rsid w:val="000E63E3"/>
    <w:rsid w:val="00126EB0"/>
    <w:rsid w:val="00132ECB"/>
    <w:rsid w:val="0013665B"/>
    <w:rsid w:val="0014198A"/>
    <w:rsid w:val="00143578"/>
    <w:rsid w:val="001766B8"/>
    <w:rsid w:val="001869DA"/>
    <w:rsid w:val="00186A0E"/>
    <w:rsid w:val="0019525D"/>
    <w:rsid w:val="001A618D"/>
    <w:rsid w:val="001B4445"/>
    <w:rsid w:val="001B4EFC"/>
    <w:rsid w:val="001C04B9"/>
    <w:rsid w:val="001D0D7E"/>
    <w:rsid w:val="001D2AFB"/>
    <w:rsid w:val="001E2FC3"/>
    <w:rsid w:val="001E3954"/>
    <w:rsid w:val="001E694E"/>
    <w:rsid w:val="001E6E37"/>
    <w:rsid w:val="001E7A96"/>
    <w:rsid w:val="001F110D"/>
    <w:rsid w:val="001F3AA1"/>
    <w:rsid w:val="002255EB"/>
    <w:rsid w:val="00243337"/>
    <w:rsid w:val="00283D4D"/>
    <w:rsid w:val="002870CC"/>
    <w:rsid w:val="002917FD"/>
    <w:rsid w:val="00294354"/>
    <w:rsid w:val="002A48A6"/>
    <w:rsid w:val="002A73A8"/>
    <w:rsid w:val="002C0F42"/>
    <w:rsid w:val="002C5098"/>
    <w:rsid w:val="002D5C47"/>
    <w:rsid w:val="002F5CC6"/>
    <w:rsid w:val="002F7F22"/>
    <w:rsid w:val="0030591D"/>
    <w:rsid w:val="003129D0"/>
    <w:rsid w:val="003150ED"/>
    <w:rsid w:val="00346857"/>
    <w:rsid w:val="0035336E"/>
    <w:rsid w:val="00362CD9"/>
    <w:rsid w:val="00366FC8"/>
    <w:rsid w:val="00380543"/>
    <w:rsid w:val="003A26E0"/>
    <w:rsid w:val="003A3187"/>
    <w:rsid w:val="003A3A5A"/>
    <w:rsid w:val="003B03B5"/>
    <w:rsid w:val="003B1361"/>
    <w:rsid w:val="003D08B5"/>
    <w:rsid w:val="003E402E"/>
    <w:rsid w:val="003E4666"/>
    <w:rsid w:val="003F0E53"/>
    <w:rsid w:val="003F417E"/>
    <w:rsid w:val="00411F61"/>
    <w:rsid w:val="0041747F"/>
    <w:rsid w:val="00420C61"/>
    <w:rsid w:val="00422E10"/>
    <w:rsid w:val="00423FFA"/>
    <w:rsid w:val="004310C4"/>
    <w:rsid w:val="00432EA1"/>
    <w:rsid w:val="00433ED0"/>
    <w:rsid w:val="004359E1"/>
    <w:rsid w:val="00441BFF"/>
    <w:rsid w:val="0046364A"/>
    <w:rsid w:val="00474EF2"/>
    <w:rsid w:val="004807D4"/>
    <w:rsid w:val="00487135"/>
    <w:rsid w:val="00490326"/>
    <w:rsid w:val="00490739"/>
    <w:rsid w:val="00495033"/>
    <w:rsid w:val="00496ECB"/>
    <w:rsid w:val="004A271C"/>
    <w:rsid w:val="004A3A91"/>
    <w:rsid w:val="004B1EA2"/>
    <w:rsid w:val="004B5E3A"/>
    <w:rsid w:val="004D3F4B"/>
    <w:rsid w:val="004E5BEC"/>
    <w:rsid w:val="004F1832"/>
    <w:rsid w:val="004F1C39"/>
    <w:rsid w:val="004F31CB"/>
    <w:rsid w:val="004F418B"/>
    <w:rsid w:val="0050728E"/>
    <w:rsid w:val="00526154"/>
    <w:rsid w:val="00534D24"/>
    <w:rsid w:val="00536224"/>
    <w:rsid w:val="0054236D"/>
    <w:rsid w:val="005475DC"/>
    <w:rsid w:val="00553BA5"/>
    <w:rsid w:val="005556D2"/>
    <w:rsid w:val="00575EBB"/>
    <w:rsid w:val="0059022D"/>
    <w:rsid w:val="005960D5"/>
    <w:rsid w:val="005A49C5"/>
    <w:rsid w:val="005A5A2A"/>
    <w:rsid w:val="005A6220"/>
    <w:rsid w:val="005B38EF"/>
    <w:rsid w:val="005D3C5F"/>
    <w:rsid w:val="005F2C1F"/>
    <w:rsid w:val="00603B20"/>
    <w:rsid w:val="00613698"/>
    <w:rsid w:val="0062504D"/>
    <w:rsid w:val="006323F0"/>
    <w:rsid w:val="00632936"/>
    <w:rsid w:val="00636D8B"/>
    <w:rsid w:val="006400F9"/>
    <w:rsid w:val="00643512"/>
    <w:rsid w:val="0066479A"/>
    <w:rsid w:val="0067012B"/>
    <w:rsid w:val="006927B3"/>
    <w:rsid w:val="006A504A"/>
    <w:rsid w:val="006A69CF"/>
    <w:rsid w:val="006B5BB9"/>
    <w:rsid w:val="006C3A7A"/>
    <w:rsid w:val="006D017E"/>
    <w:rsid w:val="006D6EB3"/>
    <w:rsid w:val="00700AB9"/>
    <w:rsid w:val="00701358"/>
    <w:rsid w:val="007163B4"/>
    <w:rsid w:val="00733FD4"/>
    <w:rsid w:val="00737AE8"/>
    <w:rsid w:val="00747A4A"/>
    <w:rsid w:val="007704A0"/>
    <w:rsid w:val="00773B05"/>
    <w:rsid w:val="00774AEA"/>
    <w:rsid w:val="0077608B"/>
    <w:rsid w:val="007A04A8"/>
    <w:rsid w:val="007E114A"/>
    <w:rsid w:val="007E1F59"/>
    <w:rsid w:val="007F0FCE"/>
    <w:rsid w:val="007F2593"/>
    <w:rsid w:val="008008B0"/>
    <w:rsid w:val="0080106E"/>
    <w:rsid w:val="00801A88"/>
    <w:rsid w:val="008147BC"/>
    <w:rsid w:val="00816DA1"/>
    <w:rsid w:val="00825C80"/>
    <w:rsid w:val="00827CEC"/>
    <w:rsid w:val="00843791"/>
    <w:rsid w:val="0084391E"/>
    <w:rsid w:val="00843971"/>
    <w:rsid w:val="0085071C"/>
    <w:rsid w:val="00855FA8"/>
    <w:rsid w:val="00862D29"/>
    <w:rsid w:val="00864AB5"/>
    <w:rsid w:val="00870BF7"/>
    <w:rsid w:val="008717C6"/>
    <w:rsid w:val="008A4EC9"/>
    <w:rsid w:val="008D7379"/>
    <w:rsid w:val="00902030"/>
    <w:rsid w:val="0090479E"/>
    <w:rsid w:val="009063C8"/>
    <w:rsid w:val="009161A7"/>
    <w:rsid w:val="00933DCF"/>
    <w:rsid w:val="00943DF2"/>
    <w:rsid w:val="00947393"/>
    <w:rsid w:val="00963DA5"/>
    <w:rsid w:val="00965953"/>
    <w:rsid w:val="00976CBA"/>
    <w:rsid w:val="0099701A"/>
    <w:rsid w:val="009A364B"/>
    <w:rsid w:val="009A6230"/>
    <w:rsid w:val="009A6909"/>
    <w:rsid w:val="009B3474"/>
    <w:rsid w:val="009B646F"/>
    <w:rsid w:val="009C4363"/>
    <w:rsid w:val="009D64E9"/>
    <w:rsid w:val="009F7C79"/>
    <w:rsid w:val="00A1194A"/>
    <w:rsid w:val="00A33BF4"/>
    <w:rsid w:val="00A40F10"/>
    <w:rsid w:val="00A43529"/>
    <w:rsid w:val="00A62D9E"/>
    <w:rsid w:val="00A649B6"/>
    <w:rsid w:val="00A65E07"/>
    <w:rsid w:val="00A90EBF"/>
    <w:rsid w:val="00A96B02"/>
    <w:rsid w:val="00AA6CD8"/>
    <w:rsid w:val="00AB1A53"/>
    <w:rsid w:val="00AC115E"/>
    <w:rsid w:val="00AC70F4"/>
    <w:rsid w:val="00AD1697"/>
    <w:rsid w:val="00AD78DA"/>
    <w:rsid w:val="00AF2E07"/>
    <w:rsid w:val="00B06432"/>
    <w:rsid w:val="00B250C1"/>
    <w:rsid w:val="00B33D85"/>
    <w:rsid w:val="00B4129D"/>
    <w:rsid w:val="00B41683"/>
    <w:rsid w:val="00B41DD3"/>
    <w:rsid w:val="00B45576"/>
    <w:rsid w:val="00B64E8E"/>
    <w:rsid w:val="00B72A21"/>
    <w:rsid w:val="00B9113C"/>
    <w:rsid w:val="00BA3D7A"/>
    <w:rsid w:val="00BA72A8"/>
    <w:rsid w:val="00BB07D1"/>
    <w:rsid w:val="00BC583D"/>
    <w:rsid w:val="00BD5425"/>
    <w:rsid w:val="00BD60B7"/>
    <w:rsid w:val="00BE4B1B"/>
    <w:rsid w:val="00BE720D"/>
    <w:rsid w:val="00BF3E66"/>
    <w:rsid w:val="00C02661"/>
    <w:rsid w:val="00C06010"/>
    <w:rsid w:val="00C212C3"/>
    <w:rsid w:val="00C278BA"/>
    <w:rsid w:val="00C303B4"/>
    <w:rsid w:val="00C42992"/>
    <w:rsid w:val="00C53CF0"/>
    <w:rsid w:val="00C5513E"/>
    <w:rsid w:val="00C558F2"/>
    <w:rsid w:val="00C56724"/>
    <w:rsid w:val="00C626B0"/>
    <w:rsid w:val="00C929C4"/>
    <w:rsid w:val="00CA0E4E"/>
    <w:rsid w:val="00CC56D8"/>
    <w:rsid w:val="00CD7D7D"/>
    <w:rsid w:val="00CE0AA0"/>
    <w:rsid w:val="00CE7337"/>
    <w:rsid w:val="00CF008E"/>
    <w:rsid w:val="00CF2285"/>
    <w:rsid w:val="00D23E90"/>
    <w:rsid w:val="00D26637"/>
    <w:rsid w:val="00D678EF"/>
    <w:rsid w:val="00D865EC"/>
    <w:rsid w:val="00D868C2"/>
    <w:rsid w:val="00DC209E"/>
    <w:rsid w:val="00DD17F0"/>
    <w:rsid w:val="00DE0B58"/>
    <w:rsid w:val="00DE26D2"/>
    <w:rsid w:val="00DE3382"/>
    <w:rsid w:val="00DE7EF2"/>
    <w:rsid w:val="00DF1480"/>
    <w:rsid w:val="00E061A0"/>
    <w:rsid w:val="00E17608"/>
    <w:rsid w:val="00E23A78"/>
    <w:rsid w:val="00E413CF"/>
    <w:rsid w:val="00E43DE3"/>
    <w:rsid w:val="00E523D3"/>
    <w:rsid w:val="00E539F8"/>
    <w:rsid w:val="00E63290"/>
    <w:rsid w:val="00E6760C"/>
    <w:rsid w:val="00E7197E"/>
    <w:rsid w:val="00E91B5A"/>
    <w:rsid w:val="00E94933"/>
    <w:rsid w:val="00EC1765"/>
    <w:rsid w:val="00ED2FE2"/>
    <w:rsid w:val="00EF178F"/>
    <w:rsid w:val="00F06BFE"/>
    <w:rsid w:val="00F109F9"/>
    <w:rsid w:val="00F14749"/>
    <w:rsid w:val="00F14834"/>
    <w:rsid w:val="00F307F9"/>
    <w:rsid w:val="00F34F9E"/>
    <w:rsid w:val="00F40961"/>
    <w:rsid w:val="00F52278"/>
    <w:rsid w:val="00F63D46"/>
    <w:rsid w:val="00F65D68"/>
    <w:rsid w:val="00F7552D"/>
    <w:rsid w:val="00F8323B"/>
    <w:rsid w:val="00F9367A"/>
    <w:rsid w:val="00FD12BD"/>
    <w:rsid w:val="00FE376B"/>
    <w:rsid w:val="00FF4E9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70">
      <o:colormru v:ext="edit" colors="black"/>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10D"/>
    <w:pPr>
      <w:spacing w:after="200" w:line="276" w:lineRule="auto"/>
    </w:pPr>
    <w:rPr>
      <w:rFonts w:eastAsia="Times New Roman" w:cs="Calibri"/>
      <w:sz w:val="22"/>
      <w:szCs w:val="22"/>
      <w:lang w:val="en-US" w:eastAsia="en-US"/>
    </w:rPr>
  </w:style>
  <w:style w:type="paragraph" w:styleId="Heading1">
    <w:name w:val="heading 1"/>
    <w:basedOn w:val="Normal"/>
    <w:next w:val="Normal"/>
    <w:link w:val="Heading1Char1"/>
    <w:uiPriority w:val="99"/>
    <w:qFormat/>
    <w:rsid w:val="001F110D"/>
    <w:pPr>
      <w:keepNext/>
      <w:keepLines/>
      <w:numPr>
        <w:numId w:val="1"/>
      </w:numPr>
      <w:spacing w:before="480" w:after="0"/>
      <w:outlineLvl w:val="0"/>
    </w:pPr>
    <w:rPr>
      <w:rFonts w:ascii="Cambria" w:eastAsia="Calibri" w:hAnsi="Cambria" w:cs="Cambria"/>
      <w:b/>
      <w:bCs/>
      <w:color w:val="365F91"/>
      <w:sz w:val="28"/>
      <w:szCs w:val="28"/>
    </w:rPr>
  </w:style>
  <w:style w:type="paragraph" w:styleId="Heading2">
    <w:name w:val="heading 2"/>
    <w:basedOn w:val="Normal"/>
    <w:next w:val="Normal"/>
    <w:link w:val="Heading2Char1"/>
    <w:uiPriority w:val="99"/>
    <w:qFormat/>
    <w:rsid w:val="001F110D"/>
    <w:pPr>
      <w:keepNext/>
      <w:keepLines/>
      <w:numPr>
        <w:ilvl w:val="1"/>
        <w:numId w:val="1"/>
      </w:numPr>
      <w:spacing w:before="200" w:after="0"/>
      <w:outlineLvl w:val="1"/>
    </w:pPr>
    <w:rPr>
      <w:rFonts w:ascii="Cambria" w:eastAsia="Calibri" w:hAnsi="Cambria" w:cs="Cambria"/>
      <w:b/>
      <w:bCs/>
      <w:color w:val="4F81BD"/>
      <w:sz w:val="26"/>
      <w:szCs w:val="26"/>
    </w:rPr>
  </w:style>
  <w:style w:type="paragraph" w:styleId="Heading3">
    <w:name w:val="heading 3"/>
    <w:basedOn w:val="Normal"/>
    <w:next w:val="Normal"/>
    <w:link w:val="Heading3Char1"/>
    <w:uiPriority w:val="99"/>
    <w:qFormat/>
    <w:rsid w:val="001F110D"/>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1"/>
    <w:uiPriority w:val="99"/>
    <w:qFormat/>
    <w:rsid w:val="001F110D"/>
    <w:pPr>
      <w:keepNext/>
      <w:keepLines/>
      <w:numPr>
        <w:ilvl w:val="3"/>
        <w:numId w:val="1"/>
      </w:numPr>
      <w:spacing w:before="200" w:after="0"/>
      <w:outlineLvl w:val="3"/>
    </w:pPr>
    <w:rPr>
      <w:rFonts w:ascii="Cambria" w:eastAsia="Calibri" w:hAnsi="Cambria" w:cs="Cambria"/>
      <w:b/>
      <w:bCs/>
      <w:i/>
      <w:iCs/>
      <w:color w:val="4F81BD"/>
    </w:rPr>
  </w:style>
  <w:style w:type="paragraph" w:styleId="Heading5">
    <w:name w:val="heading 5"/>
    <w:basedOn w:val="Normal"/>
    <w:next w:val="Normal"/>
    <w:link w:val="Heading5Char1"/>
    <w:uiPriority w:val="99"/>
    <w:qFormat/>
    <w:rsid w:val="001F110D"/>
    <w:pPr>
      <w:numPr>
        <w:ilvl w:val="4"/>
        <w:numId w:val="1"/>
      </w:numPr>
      <w:spacing w:before="240" w:after="60"/>
      <w:outlineLvl w:val="4"/>
    </w:pPr>
    <w:rPr>
      <w:b/>
      <w:bCs/>
      <w:i/>
      <w:iCs/>
      <w:sz w:val="26"/>
      <w:szCs w:val="26"/>
    </w:rPr>
  </w:style>
  <w:style w:type="paragraph" w:styleId="Heading6">
    <w:name w:val="heading 6"/>
    <w:basedOn w:val="Normal"/>
    <w:next w:val="Normal"/>
    <w:link w:val="Heading6Char1"/>
    <w:uiPriority w:val="99"/>
    <w:qFormat/>
    <w:rsid w:val="001F110D"/>
    <w:pPr>
      <w:numPr>
        <w:ilvl w:val="5"/>
        <w:numId w:val="1"/>
      </w:numPr>
      <w:spacing w:before="240" w:after="60"/>
      <w:outlineLvl w:val="5"/>
    </w:pPr>
    <w:rPr>
      <w:b/>
      <w:bCs/>
    </w:rPr>
  </w:style>
  <w:style w:type="paragraph" w:styleId="Heading7">
    <w:name w:val="heading 7"/>
    <w:basedOn w:val="Normal"/>
    <w:next w:val="Normal"/>
    <w:link w:val="Heading7Char1"/>
    <w:uiPriority w:val="99"/>
    <w:qFormat/>
    <w:rsid w:val="001F110D"/>
    <w:pPr>
      <w:numPr>
        <w:ilvl w:val="6"/>
        <w:numId w:val="1"/>
      </w:numPr>
      <w:spacing w:before="240" w:after="60"/>
      <w:outlineLvl w:val="6"/>
    </w:pPr>
    <w:rPr>
      <w:sz w:val="24"/>
      <w:szCs w:val="24"/>
    </w:rPr>
  </w:style>
  <w:style w:type="paragraph" w:styleId="Heading8">
    <w:name w:val="heading 8"/>
    <w:basedOn w:val="Normal"/>
    <w:next w:val="Normal"/>
    <w:link w:val="Heading8Char1"/>
    <w:uiPriority w:val="99"/>
    <w:qFormat/>
    <w:rsid w:val="001F110D"/>
    <w:pPr>
      <w:numPr>
        <w:ilvl w:val="7"/>
        <w:numId w:val="1"/>
      </w:numPr>
      <w:spacing w:before="240" w:after="60"/>
      <w:outlineLvl w:val="7"/>
    </w:pPr>
    <w:rPr>
      <w:i/>
      <w:iCs/>
      <w:sz w:val="24"/>
      <w:szCs w:val="24"/>
    </w:rPr>
  </w:style>
  <w:style w:type="paragraph" w:styleId="Heading9">
    <w:name w:val="heading 9"/>
    <w:basedOn w:val="Normal"/>
    <w:next w:val="Normal"/>
    <w:link w:val="Heading9Char1"/>
    <w:uiPriority w:val="99"/>
    <w:qFormat/>
    <w:rsid w:val="001F110D"/>
    <w:pPr>
      <w:numPr>
        <w:ilvl w:val="8"/>
        <w:numId w:val="1"/>
      </w:numPr>
      <w:spacing w:before="240" w:after="60"/>
      <w:outlineLvl w:val="8"/>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1F110D"/>
    <w:rPr>
      <w:rFonts w:ascii="Cambria" w:hAnsi="Cambria" w:cs="Cambria"/>
      <w:b/>
      <w:bCs/>
      <w:color w:val="365F91"/>
      <w:sz w:val="28"/>
      <w:szCs w:val="28"/>
      <w:lang w:val="en-US" w:eastAsia="en-US"/>
    </w:rPr>
  </w:style>
  <w:style w:type="character" w:customStyle="1" w:styleId="Heading2Char1">
    <w:name w:val="Heading 2 Char1"/>
    <w:basedOn w:val="DefaultParagraphFont"/>
    <w:link w:val="Heading2"/>
    <w:uiPriority w:val="99"/>
    <w:locked/>
    <w:rsid w:val="001F110D"/>
    <w:rPr>
      <w:rFonts w:ascii="Cambria" w:hAnsi="Cambria" w:cs="Cambria"/>
      <w:b/>
      <w:bCs/>
      <w:color w:val="4F81BD"/>
      <w:sz w:val="26"/>
      <w:szCs w:val="26"/>
      <w:lang w:val="en-US" w:eastAsia="en-US"/>
    </w:rPr>
  </w:style>
  <w:style w:type="character" w:customStyle="1" w:styleId="Heading3Char1">
    <w:name w:val="Heading 3 Char1"/>
    <w:basedOn w:val="DefaultParagraphFont"/>
    <w:link w:val="Heading3"/>
    <w:uiPriority w:val="99"/>
    <w:locked/>
    <w:rsid w:val="001F110D"/>
    <w:rPr>
      <w:rFonts w:ascii="Arial" w:eastAsia="Times New Roman" w:hAnsi="Arial" w:cs="Arial"/>
      <w:b/>
      <w:bCs/>
      <w:sz w:val="26"/>
      <w:szCs w:val="26"/>
      <w:lang w:val="en-US" w:eastAsia="en-US"/>
    </w:rPr>
  </w:style>
  <w:style w:type="character" w:customStyle="1" w:styleId="Heading4Char1">
    <w:name w:val="Heading 4 Char1"/>
    <w:basedOn w:val="DefaultParagraphFont"/>
    <w:link w:val="Heading4"/>
    <w:uiPriority w:val="99"/>
    <w:locked/>
    <w:rsid w:val="001F110D"/>
    <w:rPr>
      <w:rFonts w:ascii="Cambria" w:hAnsi="Cambria" w:cs="Cambria"/>
      <w:b/>
      <w:bCs/>
      <w:i/>
      <w:iCs/>
      <w:color w:val="4F81BD"/>
      <w:sz w:val="22"/>
      <w:szCs w:val="22"/>
      <w:lang w:val="en-US" w:eastAsia="en-US"/>
    </w:rPr>
  </w:style>
  <w:style w:type="character" w:customStyle="1" w:styleId="Heading5Char1">
    <w:name w:val="Heading 5 Char1"/>
    <w:basedOn w:val="DefaultParagraphFont"/>
    <w:link w:val="Heading5"/>
    <w:uiPriority w:val="99"/>
    <w:locked/>
    <w:rsid w:val="001F110D"/>
    <w:rPr>
      <w:rFonts w:eastAsia="Times New Roman" w:cs="Calibri"/>
      <w:b/>
      <w:bCs/>
      <w:i/>
      <w:iCs/>
      <w:sz w:val="26"/>
      <w:szCs w:val="26"/>
      <w:lang w:val="en-US" w:eastAsia="en-US"/>
    </w:rPr>
  </w:style>
  <w:style w:type="character" w:customStyle="1" w:styleId="Heading6Char1">
    <w:name w:val="Heading 6 Char1"/>
    <w:basedOn w:val="DefaultParagraphFont"/>
    <w:link w:val="Heading6"/>
    <w:uiPriority w:val="99"/>
    <w:locked/>
    <w:rsid w:val="001F110D"/>
    <w:rPr>
      <w:rFonts w:eastAsia="Times New Roman" w:cs="Calibri"/>
      <w:b/>
      <w:bCs/>
      <w:sz w:val="22"/>
      <w:szCs w:val="22"/>
      <w:lang w:val="en-US" w:eastAsia="en-US"/>
    </w:rPr>
  </w:style>
  <w:style w:type="character" w:customStyle="1" w:styleId="Heading7Char1">
    <w:name w:val="Heading 7 Char1"/>
    <w:basedOn w:val="DefaultParagraphFont"/>
    <w:link w:val="Heading7"/>
    <w:uiPriority w:val="99"/>
    <w:locked/>
    <w:rsid w:val="001F110D"/>
    <w:rPr>
      <w:rFonts w:eastAsia="Times New Roman" w:cs="Calibri"/>
      <w:sz w:val="24"/>
      <w:szCs w:val="24"/>
      <w:lang w:val="en-US" w:eastAsia="en-US"/>
    </w:rPr>
  </w:style>
  <w:style w:type="character" w:customStyle="1" w:styleId="Heading8Char1">
    <w:name w:val="Heading 8 Char1"/>
    <w:basedOn w:val="DefaultParagraphFont"/>
    <w:link w:val="Heading8"/>
    <w:uiPriority w:val="99"/>
    <w:locked/>
    <w:rsid w:val="001F110D"/>
    <w:rPr>
      <w:rFonts w:eastAsia="Times New Roman" w:cs="Calibri"/>
      <w:i/>
      <w:iCs/>
      <w:sz w:val="24"/>
      <w:szCs w:val="24"/>
      <w:lang w:val="en-US" w:eastAsia="en-US"/>
    </w:rPr>
  </w:style>
  <w:style w:type="character" w:customStyle="1" w:styleId="Heading9Char1">
    <w:name w:val="Heading 9 Char1"/>
    <w:basedOn w:val="DefaultParagraphFont"/>
    <w:link w:val="Heading9"/>
    <w:uiPriority w:val="99"/>
    <w:locked/>
    <w:rsid w:val="001F110D"/>
    <w:rPr>
      <w:rFonts w:ascii="Arial" w:eastAsia="Times New Roman" w:hAnsi="Arial" w:cs="Arial"/>
      <w:sz w:val="22"/>
      <w:szCs w:val="22"/>
      <w:lang w:val="en-US" w:eastAsia="en-US"/>
    </w:rPr>
  </w:style>
  <w:style w:type="character" w:customStyle="1" w:styleId="Heading1Char">
    <w:name w:val="Heading 1 Char"/>
    <w:basedOn w:val="DefaultParagraphFont"/>
    <w:link w:val="Heading1"/>
    <w:uiPriority w:val="99"/>
    <w:rsid w:val="001F110D"/>
    <w:rPr>
      <w:rFonts w:ascii="Calibri" w:eastAsia="Times New Roman" w:hAnsi="Calibri" w:cs="Times New Roman"/>
      <w:b/>
      <w:bCs/>
      <w:color w:val="940923"/>
      <w:sz w:val="28"/>
      <w:szCs w:val="28"/>
    </w:rPr>
  </w:style>
  <w:style w:type="character" w:customStyle="1" w:styleId="Heading2Char">
    <w:name w:val="Heading 2 Char"/>
    <w:basedOn w:val="DefaultParagraphFont"/>
    <w:link w:val="Heading2"/>
    <w:uiPriority w:val="99"/>
    <w:semiHidden/>
    <w:rsid w:val="001F110D"/>
    <w:rPr>
      <w:rFonts w:ascii="Calibri" w:eastAsia="Times New Roman" w:hAnsi="Calibri" w:cs="Times New Roman"/>
      <w:b/>
      <w:bCs/>
      <w:color w:val="C60C30"/>
      <w:sz w:val="26"/>
      <w:szCs w:val="26"/>
    </w:rPr>
  </w:style>
  <w:style w:type="character" w:customStyle="1" w:styleId="Heading3Char">
    <w:name w:val="Heading 3 Char"/>
    <w:basedOn w:val="DefaultParagraphFont"/>
    <w:link w:val="Heading3"/>
    <w:uiPriority w:val="99"/>
    <w:semiHidden/>
    <w:rsid w:val="001F110D"/>
    <w:rPr>
      <w:rFonts w:ascii="Calibri" w:eastAsia="Times New Roman" w:hAnsi="Calibri" w:cs="Times New Roman"/>
      <w:b/>
      <w:bCs/>
      <w:color w:val="C60C30"/>
    </w:rPr>
  </w:style>
  <w:style w:type="character" w:customStyle="1" w:styleId="Heading4Char">
    <w:name w:val="Heading 4 Char"/>
    <w:basedOn w:val="DefaultParagraphFont"/>
    <w:link w:val="Heading4"/>
    <w:uiPriority w:val="99"/>
    <w:semiHidden/>
    <w:rsid w:val="001F110D"/>
    <w:rPr>
      <w:rFonts w:ascii="Calibri" w:eastAsia="Times New Roman" w:hAnsi="Calibri" w:cs="Times New Roman"/>
      <w:b/>
      <w:bCs/>
      <w:i/>
      <w:iCs/>
      <w:color w:val="C60C30"/>
    </w:rPr>
  </w:style>
  <w:style w:type="character" w:customStyle="1" w:styleId="Heading5Char">
    <w:name w:val="Heading 5 Char"/>
    <w:basedOn w:val="DefaultParagraphFont"/>
    <w:link w:val="Heading5"/>
    <w:uiPriority w:val="99"/>
    <w:semiHidden/>
    <w:rsid w:val="001F110D"/>
    <w:rPr>
      <w:rFonts w:ascii="Calibri" w:eastAsia="Times New Roman" w:hAnsi="Calibri" w:cs="Times New Roman"/>
      <w:color w:val="620617"/>
    </w:rPr>
  </w:style>
  <w:style w:type="character" w:customStyle="1" w:styleId="Heading6Char">
    <w:name w:val="Heading 6 Char"/>
    <w:basedOn w:val="DefaultParagraphFont"/>
    <w:link w:val="Heading6"/>
    <w:uiPriority w:val="99"/>
    <w:semiHidden/>
    <w:rsid w:val="001F110D"/>
    <w:rPr>
      <w:rFonts w:ascii="Calibri" w:eastAsia="Times New Roman" w:hAnsi="Calibri" w:cs="Times New Roman"/>
      <w:i/>
      <w:iCs/>
      <w:color w:val="620617"/>
    </w:rPr>
  </w:style>
  <w:style w:type="character" w:customStyle="1" w:styleId="Heading7Char">
    <w:name w:val="Heading 7 Char"/>
    <w:basedOn w:val="DefaultParagraphFont"/>
    <w:link w:val="Heading7"/>
    <w:uiPriority w:val="99"/>
    <w:semiHidden/>
    <w:rsid w:val="001F110D"/>
    <w:rPr>
      <w:rFonts w:ascii="Calibri" w:eastAsia="Times New Roman" w:hAnsi="Calibri" w:cs="Times New Roman"/>
      <w:i/>
      <w:iCs/>
      <w:color w:val="404040"/>
    </w:rPr>
  </w:style>
  <w:style w:type="character" w:customStyle="1" w:styleId="Heading8Char">
    <w:name w:val="Heading 8 Char"/>
    <w:basedOn w:val="DefaultParagraphFont"/>
    <w:link w:val="Heading8"/>
    <w:uiPriority w:val="99"/>
    <w:semiHidden/>
    <w:rsid w:val="001F110D"/>
    <w:rPr>
      <w:rFonts w:ascii="Calibri" w:eastAsia="Times New Roman" w:hAnsi="Calibri" w:cs="Times New Roman"/>
      <w:color w:val="404040"/>
      <w:sz w:val="20"/>
      <w:szCs w:val="20"/>
    </w:rPr>
  </w:style>
  <w:style w:type="character" w:customStyle="1" w:styleId="Heading9Char">
    <w:name w:val="Heading 9 Char"/>
    <w:basedOn w:val="DefaultParagraphFont"/>
    <w:link w:val="Heading9"/>
    <w:uiPriority w:val="99"/>
    <w:semiHidden/>
    <w:rsid w:val="001F110D"/>
    <w:rPr>
      <w:rFonts w:ascii="Calibri" w:eastAsia="Times New Roman" w:hAnsi="Calibri" w:cs="Times New Roman"/>
      <w:i/>
      <w:iCs/>
      <w:color w:val="404040"/>
      <w:sz w:val="20"/>
      <w:szCs w:val="20"/>
    </w:rPr>
  </w:style>
  <w:style w:type="paragraph" w:styleId="BalloonText">
    <w:name w:val="Balloon Text"/>
    <w:basedOn w:val="Normal"/>
    <w:link w:val="BalloonTextChar1"/>
    <w:uiPriority w:val="99"/>
    <w:semiHidden/>
    <w:rsid w:val="001F110D"/>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locked/>
    <w:rsid w:val="001F110D"/>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F110D"/>
    <w:rPr>
      <w:rFonts w:ascii="Tahoma" w:eastAsia="Times New Roman" w:hAnsi="Tahoma" w:cs="Tahoma"/>
      <w:sz w:val="16"/>
      <w:szCs w:val="16"/>
    </w:rPr>
  </w:style>
  <w:style w:type="paragraph" w:styleId="ListParagraph">
    <w:name w:val="List Paragraph"/>
    <w:basedOn w:val="Normal"/>
    <w:uiPriority w:val="99"/>
    <w:qFormat/>
    <w:rsid w:val="001F110D"/>
    <w:pPr>
      <w:ind w:left="720"/>
    </w:pPr>
  </w:style>
  <w:style w:type="paragraph" w:styleId="CommentText">
    <w:name w:val="annotation text"/>
    <w:basedOn w:val="Normal"/>
    <w:link w:val="CommentTextChar1"/>
    <w:uiPriority w:val="99"/>
    <w:semiHidden/>
    <w:rsid w:val="001F110D"/>
    <w:rPr>
      <w:sz w:val="20"/>
      <w:szCs w:val="20"/>
    </w:rPr>
  </w:style>
  <w:style w:type="character" w:customStyle="1" w:styleId="CommentTextChar1">
    <w:name w:val="Comment Text Char1"/>
    <w:basedOn w:val="DefaultParagraphFont"/>
    <w:link w:val="CommentText"/>
    <w:uiPriority w:val="99"/>
    <w:semiHidden/>
    <w:locked/>
    <w:rsid w:val="001F110D"/>
    <w:rPr>
      <w:rFonts w:ascii="Calibri" w:eastAsia="Times New Roman" w:hAnsi="Calibri" w:cs="Calibri"/>
      <w:sz w:val="20"/>
      <w:szCs w:val="20"/>
    </w:rPr>
  </w:style>
  <w:style w:type="character" w:customStyle="1" w:styleId="CommentTextChar">
    <w:name w:val="Comment Text Char"/>
    <w:basedOn w:val="DefaultParagraphFont"/>
    <w:link w:val="CommentText"/>
    <w:uiPriority w:val="99"/>
    <w:semiHidden/>
    <w:rsid w:val="001F110D"/>
    <w:rPr>
      <w:rFonts w:ascii="Calibri" w:eastAsia="Times New Roman" w:hAnsi="Calibri" w:cs="Calibri"/>
      <w:sz w:val="20"/>
      <w:szCs w:val="20"/>
    </w:rPr>
  </w:style>
  <w:style w:type="paragraph" w:styleId="CommentSubject">
    <w:name w:val="annotation subject"/>
    <w:basedOn w:val="CommentText"/>
    <w:next w:val="CommentText"/>
    <w:link w:val="CommentSubjectChar1"/>
    <w:uiPriority w:val="99"/>
    <w:semiHidden/>
    <w:rsid w:val="001F110D"/>
    <w:rPr>
      <w:b/>
      <w:bCs/>
    </w:rPr>
  </w:style>
  <w:style w:type="character" w:customStyle="1" w:styleId="CommentSubjectChar1">
    <w:name w:val="Comment Subject Char1"/>
    <w:basedOn w:val="CommentTextChar1"/>
    <w:link w:val="CommentSubject"/>
    <w:uiPriority w:val="99"/>
    <w:semiHidden/>
    <w:locked/>
    <w:rsid w:val="001F110D"/>
    <w:rPr>
      <w:b/>
      <w:bCs/>
    </w:rPr>
  </w:style>
  <w:style w:type="character" w:customStyle="1" w:styleId="CommentSubjectChar">
    <w:name w:val="Comment Subject Char"/>
    <w:basedOn w:val="CommentTextChar"/>
    <w:link w:val="CommentSubject"/>
    <w:uiPriority w:val="99"/>
    <w:semiHidden/>
    <w:rsid w:val="001F110D"/>
    <w:rPr>
      <w:b/>
      <w:bCs/>
    </w:rPr>
  </w:style>
  <w:style w:type="paragraph" w:styleId="Header">
    <w:name w:val="header"/>
    <w:basedOn w:val="Normal"/>
    <w:link w:val="HeaderChar1"/>
    <w:uiPriority w:val="99"/>
    <w:rsid w:val="001F110D"/>
    <w:pPr>
      <w:tabs>
        <w:tab w:val="center" w:pos="4153"/>
        <w:tab w:val="right" w:pos="8306"/>
      </w:tabs>
    </w:pPr>
  </w:style>
  <w:style w:type="character" w:customStyle="1" w:styleId="HeaderChar1">
    <w:name w:val="Header Char1"/>
    <w:basedOn w:val="DefaultParagraphFont"/>
    <w:link w:val="Header"/>
    <w:uiPriority w:val="99"/>
    <w:locked/>
    <w:rsid w:val="001F110D"/>
    <w:rPr>
      <w:rFonts w:ascii="Calibri" w:eastAsia="Times New Roman" w:hAnsi="Calibri" w:cs="Calibri"/>
    </w:rPr>
  </w:style>
  <w:style w:type="character" w:customStyle="1" w:styleId="HeaderChar">
    <w:name w:val="Header Char"/>
    <w:basedOn w:val="DefaultParagraphFont"/>
    <w:link w:val="Header"/>
    <w:uiPriority w:val="99"/>
    <w:semiHidden/>
    <w:rsid w:val="001F110D"/>
    <w:rPr>
      <w:rFonts w:ascii="Calibri" w:eastAsia="Times New Roman" w:hAnsi="Calibri" w:cs="Calibri"/>
    </w:rPr>
  </w:style>
  <w:style w:type="paragraph" w:styleId="Footer">
    <w:name w:val="footer"/>
    <w:basedOn w:val="Normal"/>
    <w:link w:val="FooterChar1"/>
    <w:uiPriority w:val="99"/>
    <w:rsid w:val="001F110D"/>
    <w:pPr>
      <w:tabs>
        <w:tab w:val="center" w:pos="4153"/>
        <w:tab w:val="right" w:pos="8306"/>
      </w:tabs>
    </w:pPr>
  </w:style>
  <w:style w:type="character" w:customStyle="1" w:styleId="FooterChar1">
    <w:name w:val="Footer Char1"/>
    <w:basedOn w:val="DefaultParagraphFont"/>
    <w:link w:val="Footer"/>
    <w:uiPriority w:val="99"/>
    <w:locked/>
    <w:rsid w:val="001F110D"/>
    <w:rPr>
      <w:rFonts w:ascii="Calibri" w:eastAsia="Times New Roman" w:hAnsi="Calibri" w:cs="Calibri"/>
    </w:rPr>
  </w:style>
  <w:style w:type="character" w:customStyle="1" w:styleId="FooterChar">
    <w:name w:val="Footer Char"/>
    <w:basedOn w:val="DefaultParagraphFont"/>
    <w:link w:val="Footer"/>
    <w:uiPriority w:val="99"/>
    <w:rsid w:val="001F110D"/>
    <w:rPr>
      <w:rFonts w:ascii="Calibri" w:eastAsia="Times New Roman" w:hAnsi="Calibri" w:cs="Calibri"/>
    </w:rPr>
  </w:style>
  <w:style w:type="character" w:styleId="PageNumber">
    <w:name w:val="page number"/>
    <w:basedOn w:val="DefaultParagraphFont"/>
    <w:uiPriority w:val="99"/>
    <w:rsid w:val="001F110D"/>
    <w:rPr>
      <w:rFonts w:cs="Times New Roman"/>
    </w:rPr>
  </w:style>
  <w:style w:type="paragraph" w:styleId="TableofFigures">
    <w:name w:val="table of figures"/>
    <w:basedOn w:val="Normal"/>
    <w:next w:val="Normal"/>
    <w:uiPriority w:val="99"/>
    <w:semiHidden/>
    <w:rsid w:val="001F110D"/>
    <w:pPr>
      <w:tabs>
        <w:tab w:val="right" w:pos="8335"/>
      </w:tabs>
      <w:spacing w:after="0" w:line="360" w:lineRule="auto"/>
      <w:ind w:left="482" w:hanging="482"/>
    </w:pPr>
    <w:rPr>
      <w:rFonts w:ascii="Verdana" w:eastAsia="PMingLiU" w:hAnsi="Verdana" w:cs="Verdana"/>
      <w:sz w:val="20"/>
      <w:szCs w:val="20"/>
      <w:lang w:val="de-DE" w:eastAsia="de-DE"/>
    </w:rPr>
  </w:style>
  <w:style w:type="paragraph" w:styleId="TOC1">
    <w:name w:val="toc 1"/>
    <w:basedOn w:val="Body"/>
    <w:next w:val="Body"/>
    <w:autoRedefine/>
    <w:uiPriority w:val="39"/>
    <w:rsid w:val="00965953"/>
    <w:pPr>
      <w:tabs>
        <w:tab w:val="right" w:leader="dot" w:pos="9360"/>
      </w:tabs>
      <w:spacing w:before="120" w:after="0" w:line="300" w:lineRule="exact"/>
      <w:ind w:right="576"/>
    </w:pPr>
    <w:rPr>
      <w:rFonts w:eastAsia="PMingLiU" w:cs="Verdana"/>
      <w:noProof/>
      <w:szCs w:val="20"/>
      <w:lang w:val="de-DE" w:eastAsia="de-DE"/>
    </w:rPr>
  </w:style>
  <w:style w:type="character" w:styleId="Hyperlink">
    <w:name w:val="Hyperlink"/>
    <w:basedOn w:val="DefaultParagraphFont"/>
    <w:uiPriority w:val="99"/>
    <w:rsid w:val="001F110D"/>
    <w:rPr>
      <w:rFonts w:cs="Times New Roman"/>
      <w:color w:val="0000FF"/>
      <w:u w:val="single"/>
    </w:rPr>
  </w:style>
  <w:style w:type="paragraph" w:styleId="TOC2">
    <w:name w:val="toc 2"/>
    <w:basedOn w:val="Body"/>
    <w:next w:val="Body"/>
    <w:autoRedefine/>
    <w:uiPriority w:val="39"/>
    <w:rsid w:val="0041747F"/>
    <w:pPr>
      <w:tabs>
        <w:tab w:val="right" w:leader="dot" w:pos="9360"/>
      </w:tabs>
      <w:spacing w:before="120" w:after="0" w:line="300" w:lineRule="exact"/>
      <w:ind w:left="288" w:right="864" w:firstLine="432"/>
      <w:jc w:val="left"/>
    </w:pPr>
    <w:rPr>
      <w:rFonts w:eastAsia="PMingLiU" w:cs="Verdana"/>
      <w:noProof/>
      <w:szCs w:val="20"/>
      <w:lang w:val="de-DE" w:eastAsia="de-DE"/>
    </w:rPr>
  </w:style>
  <w:style w:type="paragraph" w:styleId="TOC3">
    <w:name w:val="toc 3"/>
    <w:basedOn w:val="Body"/>
    <w:next w:val="Body"/>
    <w:autoRedefine/>
    <w:uiPriority w:val="39"/>
    <w:rsid w:val="0041747F"/>
    <w:pPr>
      <w:tabs>
        <w:tab w:val="right" w:leader="dot" w:pos="9360"/>
      </w:tabs>
      <w:spacing w:before="120" w:after="0" w:line="300" w:lineRule="exact"/>
      <w:ind w:left="576" w:right="1152" w:firstLine="864"/>
      <w:jc w:val="left"/>
    </w:pPr>
    <w:rPr>
      <w:rFonts w:eastAsia="PMingLiU" w:cs="Verdana"/>
      <w:noProof/>
      <w:szCs w:val="20"/>
      <w:lang w:val="de-DE" w:eastAsia="de-DE"/>
    </w:rPr>
  </w:style>
  <w:style w:type="paragraph" w:customStyle="1" w:styleId="Ort">
    <w:name w:val="Ort"/>
    <w:basedOn w:val="Normal"/>
    <w:uiPriority w:val="99"/>
    <w:rsid w:val="001F110D"/>
    <w:pPr>
      <w:spacing w:before="1680" w:after="0" w:line="280" w:lineRule="exact"/>
    </w:pPr>
    <w:rPr>
      <w:rFonts w:ascii="Verdana" w:eastAsia="PMingLiU" w:hAnsi="Verdana" w:cs="Verdana"/>
      <w:sz w:val="20"/>
      <w:szCs w:val="20"/>
      <w:lang w:val="de-DE" w:eastAsia="de-DE"/>
    </w:rPr>
  </w:style>
  <w:style w:type="paragraph" w:customStyle="1" w:styleId="Inhalt">
    <w:name w:val="Inhalt"/>
    <w:basedOn w:val="Normal"/>
    <w:next w:val="Normal"/>
    <w:uiPriority w:val="99"/>
    <w:rsid w:val="001F110D"/>
    <w:pPr>
      <w:spacing w:before="180" w:after="0" w:line="280" w:lineRule="atLeast"/>
      <w:jc w:val="both"/>
    </w:pPr>
    <w:rPr>
      <w:rFonts w:ascii="Verdana" w:eastAsia="PMingLiU" w:hAnsi="Verdana" w:cs="Verdana"/>
      <w:b/>
      <w:bCs/>
      <w:sz w:val="24"/>
      <w:szCs w:val="24"/>
      <w:lang w:val="de-DE" w:eastAsia="de-DE"/>
    </w:rPr>
  </w:style>
  <w:style w:type="paragraph" w:customStyle="1" w:styleId="Kunde">
    <w:name w:val="Kunde"/>
    <w:basedOn w:val="Normal"/>
    <w:next w:val="TitelUntertitel"/>
    <w:uiPriority w:val="99"/>
    <w:rsid w:val="001F110D"/>
    <w:pPr>
      <w:spacing w:before="1320" w:after="240" w:line="280" w:lineRule="atLeast"/>
    </w:pPr>
    <w:rPr>
      <w:rFonts w:ascii="Verdana" w:eastAsia="PMingLiU" w:hAnsi="Verdana" w:cs="Verdana"/>
      <w:b/>
      <w:bCs/>
      <w:sz w:val="24"/>
      <w:szCs w:val="24"/>
      <w:lang w:val="de-DE" w:eastAsia="de-DE"/>
    </w:rPr>
  </w:style>
  <w:style w:type="paragraph" w:customStyle="1" w:styleId="TitelUntertitel">
    <w:name w:val="Titel/Untertitel"/>
    <w:basedOn w:val="Normal"/>
    <w:uiPriority w:val="99"/>
    <w:rsid w:val="001F110D"/>
    <w:pPr>
      <w:spacing w:before="480" w:after="0" w:line="340" w:lineRule="atLeast"/>
    </w:pPr>
    <w:rPr>
      <w:rFonts w:ascii="Verdana" w:eastAsia="PMingLiU" w:hAnsi="Verdana" w:cs="Verdana"/>
      <w:sz w:val="24"/>
      <w:szCs w:val="24"/>
      <w:lang w:val="de-DE" w:eastAsia="de-DE"/>
    </w:rPr>
  </w:style>
  <w:style w:type="paragraph" w:customStyle="1" w:styleId="Body">
    <w:name w:val="*Body"/>
    <w:basedOn w:val="Normal"/>
    <w:link w:val="BodyChar"/>
    <w:qFormat/>
    <w:rsid w:val="0014198A"/>
    <w:pPr>
      <w:spacing w:after="360" w:line="320" w:lineRule="exact"/>
      <w:jc w:val="both"/>
    </w:pPr>
    <w:rPr>
      <w:rFonts w:ascii="Univers LT 45 Light" w:hAnsi="Univers LT 45 Light"/>
      <w:color w:val="000000"/>
      <w:sz w:val="21"/>
      <w:szCs w:val="21"/>
    </w:rPr>
  </w:style>
  <w:style w:type="paragraph" w:customStyle="1" w:styleId="Bullet2">
    <w:name w:val="Bullet2"/>
    <w:basedOn w:val="Normal"/>
    <w:link w:val="Bullet2Char"/>
    <w:rsid w:val="00294354"/>
    <w:pPr>
      <w:ind w:left="720" w:hanging="360"/>
    </w:pPr>
  </w:style>
  <w:style w:type="character" w:customStyle="1" w:styleId="BodyChar">
    <w:name w:val="*Body Char"/>
    <w:basedOn w:val="DefaultParagraphFont"/>
    <w:link w:val="Body"/>
    <w:rsid w:val="0014198A"/>
    <w:rPr>
      <w:rFonts w:ascii="Univers LT 45 Light" w:eastAsia="Times New Roman" w:hAnsi="Univers LT 45 Light" w:cs="Calibri"/>
      <w:color w:val="000000"/>
      <w:sz w:val="21"/>
      <w:szCs w:val="21"/>
      <w:lang w:val="en-US" w:eastAsia="en-US"/>
    </w:rPr>
  </w:style>
  <w:style w:type="paragraph" w:customStyle="1" w:styleId="Bullet1">
    <w:name w:val="*Bullet1"/>
    <w:basedOn w:val="Bullet2"/>
    <w:link w:val="Bullet1Char1"/>
    <w:qFormat/>
    <w:rsid w:val="00A65E07"/>
    <w:pPr>
      <w:numPr>
        <w:numId w:val="2"/>
      </w:numPr>
      <w:spacing w:after="120" w:line="320" w:lineRule="exact"/>
    </w:pPr>
    <w:rPr>
      <w:rFonts w:ascii="Univers CE 45 Light" w:hAnsi="Univers CE 45 Light"/>
      <w:color w:val="000000"/>
      <w:sz w:val="21"/>
      <w:szCs w:val="21"/>
      <w:lang w:val="en-GB"/>
    </w:rPr>
  </w:style>
  <w:style w:type="paragraph" w:customStyle="1" w:styleId="Head1">
    <w:name w:val="*Head1"/>
    <w:basedOn w:val="Heading1"/>
    <w:link w:val="Head1Char"/>
    <w:qFormat/>
    <w:rsid w:val="001E2FC3"/>
    <w:pPr>
      <w:pageBreakBefore/>
      <w:numPr>
        <w:numId w:val="0"/>
      </w:numPr>
      <w:pBdr>
        <w:top w:val="single" w:sz="18" w:space="1" w:color="C60C30"/>
        <w:bottom w:val="single" w:sz="18" w:space="1" w:color="C60C30"/>
      </w:pBdr>
      <w:shd w:val="clear" w:color="auto" w:fill="C60C30"/>
      <w:spacing w:before="240" w:after="240" w:line="300" w:lineRule="exact"/>
      <w:ind w:left="432" w:hanging="432"/>
    </w:pPr>
    <w:rPr>
      <w:rFonts w:ascii="Univers LT 55" w:eastAsia="DFKai-SB" w:hAnsi="Univers LT 55"/>
      <w:b w:val="0"/>
      <w:color w:val="FFFFFF"/>
      <w:lang w:val="en-GB"/>
    </w:rPr>
  </w:style>
  <w:style w:type="character" w:customStyle="1" w:styleId="Bullet2Char">
    <w:name w:val="Bullet2 Char"/>
    <w:basedOn w:val="DefaultParagraphFont"/>
    <w:link w:val="Bullet2"/>
    <w:rsid w:val="00294354"/>
    <w:rPr>
      <w:rFonts w:ascii="Calibri" w:eastAsia="Times New Roman" w:hAnsi="Calibri" w:cs="Calibri"/>
    </w:rPr>
  </w:style>
  <w:style w:type="character" w:customStyle="1" w:styleId="Bullet1Char">
    <w:name w:val="*Bullet1 Char"/>
    <w:basedOn w:val="Bullet2Char"/>
    <w:link w:val="Bullet1"/>
    <w:rsid w:val="00294354"/>
  </w:style>
  <w:style w:type="paragraph" w:customStyle="1" w:styleId="Head2">
    <w:name w:val="*Head2"/>
    <w:basedOn w:val="Head1"/>
    <w:link w:val="Head2Char"/>
    <w:qFormat/>
    <w:rsid w:val="0014198A"/>
    <w:pPr>
      <w:pageBreakBefore w:val="0"/>
      <w:pBdr>
        <w:top w:val="none" w:sz="0" w:space="0" w:color="auto"/>
        <w:bottom w:val="none" w:sz="0" w:space="0" w:color="auto"/>
      </w:pBdr>
      <w:shd w:val="clear" w:color="auto" w:fill="auto"/>
      <w:spacing w:before="360"/>
    </w:pPr>
    <w:rPr>
      <w:color w:val="C60C30"/>
      <w:szCs w:val="20"/>
    </w:rPr>
  </w:style>
  <w:style w:type="character" w:customStyle="1" w:styleId="Head1Char">
    <w:name w:val="*Head1 Char"/>
    <w:basedOn w:val="Heading1Char1"/>
    <w:link w:val="Head1"/>
    <w:rsid w:val="001E2FC3"/>
    <w:rPr>
      <w:rFonts w:ascii="Univers LT 55" w:eastAsia="DFKai-SB" w:hAnsi="Univers LT 55"/>
      <w:bCs/>
      <w:color w:val="FFFFFF"/>
      <w:shd w:val="clear" w:color="auto" w:fill="C60C30"/>
      <w:lang w:eastAsia="en-US"/>
    </w:rPr>
  </w:style>
  <w:style w:type="paragraph" w:customStyle="1" w:styleId="Caption">
    <w:name w:val="*Caption"/>
    <w:basedOn w:val="Body"/>
    <w:link w:val="CaptionChar"/>
    <w:qFormat/>
    <w:rsid w:val="0014198A"/>
    <w:pPr>
      <w:spacing w:line="240" w:lineRule="auto"/>
    </w:pPr>
    <w:rPr>
      <w:color w:val="808080"/>
      <w:sz w:val="18"/>
      <w:szCs w:val="18"/>
      <w:lang w:val="en-GB"/>
    </w:rPr>
  </w:style>
  <w:style w:type="character" w:customStyle="1" w:styleId="Head2Char">
    <w:name w:val="*Head2 Char"/>
    <w:basedOn w:val="Head1Char"/>
    <w:link w:val="Head2"/>
    <w:rsid w:val="0014198A"/>
    <w:rPr>
      <w:bCs/>
      <w:color w:val="C60C30"/>
      <w:lang w:eastAsia="en-US"/>
    </w:rPr>
  </w:style>
  <w:style w:type="paragraph" w:customStyle="1" w:styleId="SubHead">
    <w:name w:val="*SubHead"/>
    <w:basedOn w:val="Body"/>
    <w:link w:val="SubHeadChar"/>
    <w:qFormat/>
    <w:rsid w:val="0014198A"/>
    <w:rPr>
      <w:rFonts w:ascii="Univers LT 55" w:hAnsi="Univers LT 55"/>
      <w:sz w:val="28"/>
      <w:szCs w:val="28"/>
      <w:lang w:val="en-GB"/>
    </w:rPr>
  </w:style>
  <w:style w:type="character" w:customStyle="1" w:styleId="CaptionChar">
    <w:name w:val="*Caption Char"/>
    <w:basedOn w:val="BodyChar"/>
    <w:link w:val="Caption"/>
    <w:rsid w:val="0014198A"/>
    <w:rPr>
      <w:color w:val="808080"/>
      <w:sz w:val="18"/>
      <w:szCs w:val="18"/>
    </w:rPr>
  </w:style>
  <w:style w:type="paragraph" w:customStyle="1" w:styleId="Numbered">
    <w:name w:val="*Numbered"/>
    <w:basedOn w:val="Body"/>
    <w:link w:val="NumberedChar"/>
    <w:qFormat/>
    <w:rsid w:val="00AD78DA"/>
    <w:pPr>
      <w:numPr>
        <w:numId w:val="3"/>
      </w:numPr>
      <w:ind w:left="540" w:hanging="540"/>
      <w:jc w:val="left"/>
    </w:pPr>
    <w:rPr>
      <w:lang w:val="en-GB"/>
    </w:rPr>
  </w:style>
  <w:style w:type="character" w:customStyle="1" w:styleId="SubHeadChar">
    <w:name w:val="*SubHead Char"/>
    <w:basedOn w:val="BodyChar"/>
    <w:link w:val="SubHead"/>
    <w:rsid w:val="0014198A"/>
    <w:rPr>
      <w:rFonts w:ascii="Univers LT 55" w:hAnsi="Univers LT 55"/>
      <w:color w:val="000000"/>
      <w:sz w:val="28"/>
      <w:szCs w:val="28"/>
      <w:lang w:eastAsia="en-US"/>
    </w:rPr>
  </w:style>
  <w:style w:type="paragraph" w:customStyle="1" w:styleId="Percent">
    <w:name w:val="*Percent"/>
    <w:basedOn w:val="Bullet1"/>
    <w:link w:val="PercentChar"/>
    <w:qFormat/>
    <w:rsid w:val="00733FD4"/>
    <w:pPr>
      <w:numPr>
        <w:numId w:val="0"/>
      </w:numPr>
      <w:tabs>
        <w:tab w:val="right" w:leader="dot" w:pos="6480"/>
      </w:tabs>
      <w:spacing w:line="300" w:lineRule="exact"/>
      <w:ind w:left="1800"/>
    </w:pPr>
    <w:rPr>
      <w:b/>
    </w:rPr>
  </w:style>
  <w:style w:type="character" w:customStyle="1" w:styleId="NumberedChar">
    <w:name w:val="*Numbered Char"/>
    <w:basedOn w:val="BodyChar"/>
    <w:link w:val="Numbered"/>
    <w:rsid w:val="00AD78DA"/>
  </w:style>
  <w:style w:type="paragraph" w:customStyle="1" w:styleId="Head3">
    <w:name w:val="*Head3"/>
    <w:basedOn w:val="Head2"/>
    <w:link w:val="Head3Char"/>
    <w:qFormat/>
    <w:rsid w:val="00F109F9"/>
    <w:pPr>
      <w:pBdr>
        <w:top w:val="single" w:sz="18" w:space="1" w:color="6E665D"/>
        <w:bottom w:val="single" w:sz="18" w:space="1" w:color="6E665D"/>
      </w:pBdr>
      <w:shd w:val="clear" w:color="auto" w:fill="6E665D"/>
    </w:pPr>
  </w:style>
  <w:style w:type="character" w:customStyle="1" w:styleId="Bullet1Char1">
    <w:name w:val="*Bullet1 Char1"/>
    <w:basedOn w:val="Bullet2Char"/>
    <w:link w:val="Bullet1"/>
    <w:rsid w:val="00A65E07"/>
    <w:rPr>
      <w:rFonts w:ascii="Univers CE 45 Light" w:hAnsi="Univers CE 45 Light"/>
      <w:color w:val="000000"/>
      <w:sz w:val="21"/>
      <w:szCs w:val="21"/>
      <w:lang w:eastAsia="en-US"/>
    </w:rPr>
  </w:style>
  <w:style w:type="character" w:customStyle="1" w:styleId="PercentChar">
    <w:name w:val="*Percent Char"/>
    <w:basedOn w:val="Bullet1Char1"/>
    <w:link w:val="Percent"/>
    <w:rsid w:val="00F307F9"/>
  </w:style>
  <w:style w:type="character" w:customStyle="1" w:styleId="Head3Char">
    <w:name w:val="*Head3 Char"/>
    <w:basedOn w:val="Head2Char"/>
    <w:link w:val="Head3"/>
    <w:rsid w:val="00F109F9"/>
    <w:rPr>
      <w:shd w:val="clear" w:color="auto" w:fill="6E665D"/>
    </w:rPr>
  </w:style>
  <w:style w:type="paragraph" w:customStyle="1" w:styleId="Table">
    <w:name w:val="*Table"/>
    <w:basedOn w:val="Normal"/>
    <w:link w:val="TableChar"/>
    <w:qFormat/>
    <w:rsid w:val="00BE4B1B"/>
    <w:pPr>
      <w:spacing w:after="0" w:line="240" w:lineRule="auto"/>
    </w:pPr>
    <w:rPr>
      <w:rFonts w:ascii="Univers LT 47 CondensedLt" w:hAnsi="Univers LT 47 CondensedLt"/>
      <w:bCs/>
      <w:sz w:val="19"/>
      <w:szCs w:val="19"/>
      <w:lang w:eastAsia="en-GB"/>
    </w:rPr>
  </w:style>
  <w:style w:type="paragraph" w:customStyle="1" w:styleId="Head4">
    <w:name w:val="*Head4"/>
    <w:basedOn w:val="Head3"/>
    <w:link w:val="Head4Char"/>
    <w:qFormat/>
    <w:rsid w:val="0084391E"/>
    <w:pPr>
      <w:ind w:left="1170"/>
    </w:pPr>
  </w:style>
  <w:style w:type="character" w:customStyle="1" w:styleId="TableChar">
    <w:name w:val="*Table Char"/>
    <w:basedOn w:val="DefaultParagraphFont"/>
    <w:link w:val="Table"/>
    <w:rsid w:val="00BE4B1B"/>
    <w:rPr>
      <w:rFonts w:ascii="Univers LT 47 CondensedLt" w:eastAsia="Times New Roman" w:hAnsi="Univers LT 47 CondensedLt" w:cs="Calibri"/>
      <w:bCs/>
      <w:sz w:val="19"/>
      <w:szCs w:val="19"/>
      <w:lang w:eastAsia="en-GB"/>
    </w:rPr>
  </w:style>
  <w:style w:type="paragraph" w:customStyle="1" w:styleId="BodyIndent">
    <w:name w:val="*BodyIndent"/>
    <w:basedOn w:val="Body"/>
    <w:link w:val="BodyIndentChar"/>
    <w:rsid w:val="0084391E"/>
    <w:pPr>
      <w:ind w:left="810"/>
    </w:pPr>
    <w:rPr>
      <w:lang w:val="en-GB"/>
    </w:rPr>
  </w:style>
  <w:style w:type="character" w:customStyle="1" w:styleId="Head4Char">
    <w:name w:val="*Head4 Char"/>
    <w:basedOn w:val="Head3Char"/>
    <w:link w:val="Head4"/>
    <w:rsid w:val="0084391E"/>
    <w:rPr>
      <w:color w:val="49443E"/>
    </w:rPr>
  </w:style>
  <w:style w:type="paragraph" w:customStyle="1" w:styleId="BulletIndent">
    <w:name w:val="*BulletIndent"/>
    <w:basedOn w:val="Bullet1"/>
    <w:link w:val="BulletIndentChar"/>
    <w:rsid w:val="0084391E"/>
    <w:pPr>
      <w:ind w:left="1980"/>
    </w:pPr>
  </w:style>
  <w:style w:type="character" w:customStyle="1" w:styleId="BodyIndentChar">
    <w:name w:val="*BodyIndent Char"/>
    <w:basedOn w:val="BodyChar"/>
    <w:link w:val="BodyIndent"/>
    <w:rsid w:val="0084391E"/>
    <w:rPr>
      <w:lang w:val="en-GB"/>
    </w:rPr>
  </w:style>
  <w:style w:type="character" w:customStyle="1" w:styleId="BulletIndentChar">
    <w:name w:val="*BulletIndent Char"/>
    <w:basedOn w:val="Bullet1Char1"/>
    <w:link w:val="BulletIndent"/>
    <w:rsid w:val="0084391E"/>
  </w:style>
  <w:style w:type="paragraph" w:styleId="TOC4">
    <w:name w:val="toc 4"/>
    <w:basedOn w:val="Body"/>
    <w:next w:val="Normal"/>
    <w:autoRedefine/>
    <w:uiPriority w:val="39"/>
    <w:semiHidden/>
    <w:unhideWhenUsed/>
    <w:rsid w:val="0041747F"/>
    <w:pPr>
      <w:tabs>
        <w:tab w:val="right" w:leader="dot" w:pos="9360"/>
      </w:tabs>
      <w:spacing w:after="100"/>
      <w:ind w:left="1152" w:right="1440" w:firstLine="1296"/>
    </w:pPr>
  </w:style>
  <w:style w:type="table" w:styleId="TableGrid">
    <w:name w:val="Table Grid"/>
    <w:basedOn w:val="TableNormal"/>
    <w:uiPriority w:val="59"/>
    <w:rsid w:val="00090D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750160">
      <w:bodyDiv w:val="1"/>
      <w:marLeft w:val="0"/>
      <w:marRight w:val="0"/>
      <w:marTop w:val="0"/>
      <w:marBottom w:val="0"/>
      <w:divBdr>
        <w:top w:val="none" w:sz="0" w:space="0" w:color="auto"/>
        <w:left w:val="none" w:sz="0" w:space="0" w:color="auto"/>
        <w:bottom w:val="none" w:sz="0" w:space="0" w:color="auto"/>
        <w:right w:val="none" w:sz="0" w:space="0" w:color="auto"/>
      </w:divBdr>
    </w:div>
    <w:div w:id="346100408">
      <w:bodyDiv w:val="1"/>
      <w:marLeft w:val="0"/>
      <w:marRight w:val="0"/>
      <w:marTop w:val="0"/>
      <w:marBottom w:val="0"/>
      <w:divBdr>
        <w:top w:val="none" w:sz="0" w:space="0" w:color="auto"/>
        <w:left w:val="none" w:sz="0" w:space="0" w:color="auto"/>
        <w:bottom w:val="none" w:sz="0" w:space="0" w:color="auto"/>
        <w:right w:val="none" w:sz="0" w:space="0" w:color="auto"/>
      </w:divBdr>
    </w:div>
    <w:div w:id="152694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gi@resources-uk.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edinburgh\shared$\RGI\2011\RGP%20Governance%20Index\www.resourcesgloba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A5759-1AF7-409A-92B3-2470D69C6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2748</Words>
  <Characters>15668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18380</CharactersWithSpaces>
  <SharedDoc>false</SharedDoc>
  <HLinks>
    <vt:vector size="12" baseType="variant">
      <vt:variant>
        <vt:i4>7864327</vt:i4>
      </vt:variant>
      <vt:variant>
        <vt:i4>3</vt:i4>
      </vt:variant>
      <vt:variant>
        <vt:i4>0</vt:i4>
      </vt:variant>
      <vt:variant>
        <vt:i4>5</vt:i4>
      </vt:variant>
      <vt:variant>
        <vt:lpwstr>\\edinburgh\shared$\RGI\2011\RGP Governance Index\www.resourcesglobal.com</vt:lpwstr>
      </vt:variant>
      <vt:variant>
        <vt:lpwstr/>
      </vt:variant>
      <vt:variant>
        <vt:i4>2687061</vt:i4>
      </vt:variant>
      <vt:variant>
        <vt:i4>0</vt:i4>
      </vt:variant>
      <vt:variant>
        <vt:i4>0</vt:i4>
      </vt:variant>
      <vt:variant>
        <vt:i4>5</vt:i4>
      </vt:variant>
      <vt:variant>
        <vt:lpwstr>mailto:rgi@resources-uk.com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Pegg</dc:creator>
  <cp:lastModifiedBy>Nathan Skinner</cp:lastModifiedBy>
  <cp:revision>2</cp:revision>
  <cp:lastPrinted>2011-11-09T11:42:00Z</cp:lastPrinted>
  <dcterms:created xsi:type="dcterms:W3CDTF">2011-11-28T17:27:00Z</dcterms:created>
  <dcterms:modified xsi:type="dcterms:W3CDTF">2011-11-28T17:27:00Z</dcterms:modified>
</cp:coreProperties>
</file>